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4E3" w:rsidRDefault="00BF34E3">
      <w:pPr>
        <w:pStyle w:val="Title"/>
        <w:rPr>
          <w:sz w:val="28"/>
        </w:rPr>
      </w:pPr>
      <w:r>
        <w:rPr>
          <w:sz w:val="28"/>
        </w:rPr>
        <w:t>Village of Park Forest</w:t>
      </w:r>
    </w:p>
    <w:p w:rsidR="00657E04" w:rsidRDefault="00C81DE8" w:rsidP="00657E04">
      <w:pPr>
        <w:jc w:val="center"/>
        <w:rPr>
          <w:b/>
          <w:bCs/>
          <w:sz w:val="28"/>
          <w:szCs w:val="28"/>
        </w:rPr>
      </w:pPr>
      <w:r>
        <w:rPr>
          <w:b/>
          <w:bCs/>
          <w:sz w:val="28"/>
          <w:szCs w:val="28"/>
        </w:rPr>
        <w:t>2022/2023</w:t>
      </w:r>
      <w:r w:rsidR="00657E04">
        <w:rPr>
          <w:b/>
          <w:bCs/>
          <w:sz w:val="28"/>
          <w:szCs w:val="28"/>
        </w:rPr>
        <w:t xml:space="preserve"> Budget</w:t>
      </w:r>
    </w:p>
    <w:p w:rsidR="00BF34E3" w:rsidRDefault="00BF34E3">
      <w:pPr>
        <w:jc w:val="center"/>
        <w:rPr>
          <w:b/>
        </w:rPr>
      </w:pPr>
    </w:p>
    <w:p w:rsidR="007B7F50" w:rsidRDefault="007B7F50">
      <w:pPr>
        <w:jc w:val="center"/>
        <w:rPr>
          <w:b/>
        </w:rPr>
      </w:pPr>
    </w:p>
    <w:p w:rsidR="00BF34E3" w:rsidRDefault="00BF34E3">
      <w:pPr>
        <w:jc w:val="center"/>
        <w:rPr>
          <w:b/>
          <w:sz w:val="24"/>
        </w:rPr>
      </w:pPr>
      <w:r>
        <w:rPr>
          <w:b/>
          <w:sz w:val="24"/>
        </w:rPr>
        <w:t>REVENUE SUMMARY</w:t>
      </w:r>
    </w:p>
    <w:p w:rsidR="00BF34E3" w:rsidRDefault="00BF34E3">
      <w:pPr>
        <w:rPr>
          <w:b/>
          <w:sz w:val="24"/>
        </w:rPr>
      </w:pPr>
    </w:p>
    <w:p w:rsidR="006116BC" w:rsidRDefault="006116BC">
      <w:pPr>
        <w:rPr>
          <w:b/>
          <w:sz w:val="24"/>
          <w:u w:val="single"/>
        </w:rPr>
      </w:pPr>
    </w:p>
    <w:p w:rsidR="00193B12" w:rsidRPr="00290245" w:rsidRDefault="006116BC" w:rsidP="00254134">
      <w:pPr>
        <w:ind w:right="-126"/>
        <w:rPr>
          <w:sz w:val="24"/>
        </w:rPr>
      </w:pPr>
      <w:r w:rsidRPr="00290245">
        <w:rPr>
          <w:sz w:val="24"/>
        </w:rPr>
        <w:t xml:space="preserve">Below is a graphic presentation of revenue allocations followed by </w:t>
      </w:r>
      <w:r w:rsidR="00E55219" w:rsidRPr="00290245">
        <w:rPr>
          <w:sz w:val="24"/>
        </w:rPr>
        <w:t xml:space="preserve">the </w:t>
      </w:r>
      <w:r w:rsidR="0024046D" w:rsidRPr="00290245">
        <w:rPr>
          <w:sz w:val="24"/>
        </w:rPr>
        <w:t xml:space="preserve">revenue </w:t>
      </w:r>
      <w:r w:rsidR="007B7F50" w:rsidRPr="00290245">
        <w:rPr>
          <w:sz w:val="24"/>
        </w:rPr>
        <w:t>assumptio</w:t>
      </w:r>
      <w:r w:rsidR="0024046D" w:rsidRPr="00290245">
        <w:rPr>
          <w:sz w:val="24"/>
        </w:rPr>
        <w:t>n.</w:t>
      </w:r>
    </w:p>
    <w:p w:rsidR="007B7F50" w:rsidRPr="00290245" w:rsidRDefault="007B7F50" w:rsidP="00254134">
      <w:pPr>
        <w:ind w:right="-126"/>
        <w:rPr>
          <w:sz w:val="24"/>
        </w:rPr>
      </w:pPr>
    </w:p>
    <w:p w:rsidR="00606E8E" w:rsidRPr="00290245" w:rsidRDefault="000F5D1B">
      <w:pPr>
        <w:rPr>
          <w:b/>
          <w:sz w:val="24"/>
          <w:u w:val="single"/>
        </w:rPr>
      </w:pPr>
      <w:r>
        <w:rPr>
          <w:noProof/>
        </w:rPr>
        <w:drawing>
          <wp:inline distT="0" distB="0" distL="0" distR="0" wp14:anchorId="39CC35D9" wp14:editId="6408145D">
            <wp:extent cx="5444490" cy="3667125"/>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06E8E" w:rsidRPr="00290245" w:rsidRDefault="00606E8E">
      <w:pPr>
        <w:rPr>
          <w:b/>
          <w:sz w:val="24"/>
          <w:u w:val="single"/>
        </w:rPr>
      </w:pPr>
    </w:p>
    <w:p w:rsidR="00CD7600" w:rsidRPr="006828AB" w:rsidRDefault="00CD7600">
      <w:pPr>
        <w:rPr>
          <w:b/>
          <w:sz w:val="24"/>
          <w:u w:val="single"/>
        </w:rPr>
      </w:pPr>
      <w:r w:rsidRPr="00290245">
        <w:rPr>
          <w:b/>
          <w:sz w:val="24"/>
          <w:u w:val="single"/>
        </w:rPr>
        <w:t>Property</w:t>
      </w:r>
      <w:r w:rsidRPr="006828AB">
        <w:rPr>
          <w:b/>
          <w:sz w:val="24"/>
          <w:u w:val="single"/>
        </w:rPr>
        <w:t xml:space="preserve"> Taxes</w:t>
      </w:r>
    </w:p>
    <w:p w:rsidR="00CD7600" w:rsidRPr="006828AB" w:rsidRDefault="00CD7600">
      <w:pPr>
        <w:rPr>
          <w:sz w:val="18"/>
        </w:rPr>
      </w:pPr>
    </w:p>
    <w:p w:rsidR="00FE4C60" w:rsidRPr="00494675" w:rsidRDefault="00BF34E3" w:rsidP="00F97B74">
      <w:pPr>
        <w:rPr>
          <w:sz w:val="24"/>
        </w:rPr>
      </w:pPr>
      <w:bookmarkStart w:id="0" w:name="_GoBack"/>
      <w:r w:rsidRPr="006828AB">
        <w:rPr>
          <w:sz w:val="24"/>
        </w:rPr>
        <w:t>Property taxes levied in December of one year fund the budget of the following year.  In other words, the property taxes levied in December</w:t>
      </w:r>
      <w:r w:rsidR="009B6517" w:rsidRPr="006828AB">
        <w:rPr>
          <w:sz w:val="24"/>
        </w:rPr>
        <w:t>,</w:t>
      </w:r>
      <w:r w:rsidRPr="006828AB">
        <w:rPr>
          <w:sz w:val="24"/>
        </w:rPr>
        <w:t xml:space="preserve"> 20</w:t>
      </w:r>
      <w:r w:rsidR="00AC76D7" w:rsidRPr="006828AB">
        <w:rPr>
          <w:sz w:val="24"/>
        </w:rPr>
        <w:t>2</w:t>
      </w:r>
      <w:r w:rsidR="006828AB" w:rsidRPr="006828AB">
        <w:rPr>
          <w:sz w:val="24"/>
        </w:rPr>
        <w:t>1</w:t>
      </w:r>
      <w:r w:rsidRPr="006828AB">
        <w:rPr>
          <w:sz w:val="24"/>
        </w:rPr>
        <w:t xml:space="preserve"> support the 20</w:t>
      </w:r>
      <w:r w:rsidR="00AF2670" w:rsidRPr="006828AB">
        <w:rPr>
          <w:sz w:val="24"/>
        </w:rPr>
        <w:t>2</w:t>
      </w:r>
      <w:r w:rsidR="006828AB" w:rsidRPr="006828AB">
        <w:rPr>
          <w:sz w:val="24"/>
        </w:rPr>
        <w:t>2</w:t>
      </w:r>
      <w:r w:rsidRPr="006828AB">
        <w:rPr>
          <w:sz w:val="24"/>
        </w:rPr>
        <w:t>/20</w:t>
      </w:r>
      <w:r w:rsidR="00BE21A2" w:rsidRPr="006828AB">
        <w:rPr>
          <w:sz w:val="24"/>
        </w:rPr>
        <w:t>2</w:t>
      </w:r>
      <w:r w:rsidR="006828AB" w:rsidRPr="006828AB">
        <w:rPr>
          <w:sz w:val="24"/>
        </w:rPr>
        <w:t>3</w:t>
      </w:r>
      <w:r w:rsidRPr="006828AB">
        <w:rPr>
          <w:sz w:val="24"/>
        </w:rPr>
        <w:t xml:space="preserve"> Budget.  </w:t>
      </w:r>
      <w:bookmarkEnd w:id="0"/>
      <w:r w:rsidRPr="006828AB">
        <w:rPr>
          <w:sz w:val="24"/>
        </w:rPr>
        <w:t xml:space="preserve">Inasmuch as the property tax levy is adopted in advance of the development of the budget, property tax revenues have already been clearly determined prior to planning the budget.  The total </w:t>
      </w:r>
      <w:r w:rsidR="00687AE0" w:rsidRPr="006828AB">
        <w:rPr>
          <w:sz w:val="24"/>
        </w:rPr>
        <w:t>Village t</w:t>
      </w:r>
      <w:r w:rsidRPr="006828AB">
        <w:rPr>
          <w:sz w:val="24"/>
        </w:rPr>
        <w:t>ax levy adopted in December</w:t>
      </w:r>
      <w:r w:rsidR="009B6517" w:rsidRPr="006828AB">
        <w:rPr>
          <w:sz w:val="24"/>
        </w:rPr>
        <w:t>,</w:t>
      </w:r>
      <w:r w:rsidRPr="006828AB">
        <w:rPr>
          <w:sz w:val="24"/>
        </w:rPr>
        <w:t xml:space="preserve"> 20</w:t>
      </w:r>
      <w:r w:rsidR="00E2083A" w:rsidRPr="006828AB">
        <w:rPr>
          <w:sz w:val="24"/>
        </w:rPr>
        <w:t>2</w:t>
      </w:r>
      <w:r w:rsidR="006828AB" w:rsidRPr="006828AB">
        <w:rPr>
          <w:sz w:val="24"/>
        </w:rPr>
        <w:t>1</w:t>
      </w:r>
      <w:r w:rsidRPr="006828AB">
        <w:rPr>
          <w:sz w:val="24"/>
        </w:rPr>
        <w:t xml:space="preserve"> of $</w:t>
      </w:r>
      <w:r w:rsidR="005551B0" w:rsidRPr="006828AB">
        <w:rPr>
          <w:sz w:val="24"/>
        </w:rPr>
        <w:t>1</w:t>
      </w:r>
      <w:r w:rsidR="00E2083A" w:rsidRPr="006828AB">
        <w:rPr>
          <w:sz w:val="24"/>
        </w:rPr>
        <w:t>8</w:t>
      </w:r>
      <w:r w:rsidRPr="006828AB">
        <w:rPr>
          <w:sz w:val="24"/>
        </w:rPr>
        <w:t>,</w:t>
      </w:r>
      <w:r w:rsidR="006828AB" w:rsidRPr="006828AB">
        <w:rPr>
          <w:sz w:val="24"/>
        </w:rPr>
        <w:t>69</w:t>
      </w:r>
      <w:r w:rsidR="00E2083A" w:rsidRPr="006828AB">
        <w:rPr>
          <w:sz w:val="24"/>
        </w:rPr>
        <w:t>8</w:t>
      </w:r>
      <w:r w:rsidR="00BE21A2" w:rsidRPr="006828AB">
        <w:rPr>
          <w:sz w:val="24"/>
        </w:rPr>
        <w:t>,</w:t>
      </w:r>
      <w:r w:rsidR="006828AB" w:rsidRPr="006828AB">
        <w:rPr>
          <w:sz w:val="24"/>
        </w:rPr>
        <w:t>432</w:t>
      </w:r>
      <w:r w:rsidRPr="006828AB">
        <w:rPr>
          <w:sz w:val="24"/>
        </w:rPr>
        <w:t xml:space="preserve"> represented an overall </w:t>
      </w:r>
      <w:r w:rsidR="00E2083A" w:rsidRPr="006828AB">
        <w:rPr>
          <w:sz w:val="24"/>
        </w:rPr>
        <w:t>0.</w:t>
      </w:r>
      <w:r w:rsidR="006828AB" w:rsidRPr="006828AB">
        <w:rPr>
          <w:sz w:val="24"/>
        </w:rPr>
        <w:t>0</w:t>
      </w:r>
      <w:r w:rsidR="00FE4C60" w:rsidRPr="006828AB">
        <w:rPr>
          <w:sz w:val="24"/>
        </w:rPr>
        <w:t>%</w:t>
      </w:r>
      <w:r w:rsidR="004342BE" w:rsidRPr="006828AB">
        <w:rPr>
          <w:sz w:val="24"/>
        </w:rPr>
        <w:t xml:space="preserve"> increase</w:t>
      </w:r>
      <w:r w:rsidR="00FE4C60" w:rsidRPr="006828AB">
        <w:rPr>
          <w:sz w:val="24"/>
        </w:rPr>
        <w:t>.  When couple</w:t>
      </w:r>
      <w:r w:rsidR="006828AB" w:rsidRPr="006828AB">
        <w:rPr>
          <w:sz w:val="24"/>
        </w:rPr>
        <w:t>d</w:t>
      </w:r>
      <w:r w:rsidR="00FE4C60" w:rsidRPr="006828AB">
        <w:rPr>
          <w:sz w:val="24"/>
        </w:rPr>
        <w:t xml:space="preserve"> with the Library’s 20</w:t>
      </w:r>
      <w:r w:rsidR="00E2083A" w:rsidRPr="006828AB">
        <w:rPr>
          <w:sz w:val="24"/>
        </w:rPr>
        <w:t>2</w:t>
      </w:r>
      <w:r w:rsidR="006828AB" w:rsidRPr="006828AB">
        <w:rPr>
          <w:sz w:val="24"/>
        </w:rPr>
        <w:t>1</w:t>
      </w:r>
      <w:r w:rsidR="00FE4C60" w:rsidRPr="006828AB">
        <w:rPr>
          <w:sz w:val="24"/>
        </w:rPr>
        <w:t xml:space="preserve"> tax levy, the </w:t>
      </w:r>
      <w:r w:rsidR="00FE4C60" w:rsidRPr="006828AB">
        <w:rPr>
          <w:sz w:val="24"/>
          <w:u w:val="single"/>
        </w:rPr>
        <w:t xml:space="preserve">combined </w:t>
      </w:r>
      <w:r w:rsidR="006828AB" w:rsidRPr="006828AB">
        <w:rPr>
          <w:sz w:val="24"/>
          <w:u w:val="single"/>
        </w:rPr>
        <w:t>de</w:t>
      </w:r>
      <w:r w:rsidR="00FE4C60" w:rsidRPr="006828AB">
        <w:rPr>
          <w:sz w:val="24"/>
          <w:u w:val="single"/>
        </w:rPr>
        <w:t>crease</w:t>
      </w:r>
      <w:r w:rsidR="00FE4C60" w:rsidRPr="006828AB">
        <w:rPr>
          <w:sz w:val="24"/>
        </w:rPr>
        <w:t xml:space="preserve"> to the 20</w:t>
      </w:r>
      <w:r w:rsidR="00E2083A" w:rsidRPr="006828AB">
        <w:rPr>
          <w:sz w:val="24"/>
        </w:rPr>
        <w:t>2</w:t>
      </w:r>
      <w:r w:rsidR="006828AB" w:rsidRPr="006828AB">
        <w:rPr>
          <w:sz w:val="24"/>
        </w:rPr>
        <w:t>1</w:t>
      </w:r>
      <w:r w:rsidR="00FE4C60" w:rsidRPr="006828AB">
        <w:rPr>
          <w:sz w:val="24"/>
        </w:rPr>
        <w:t xml:space="preserve"> tax levy </w:t>
      </w:r>
      <w:r w:rsidR="00E2083A" w:rsidRPr="00494675">
        <w:rPr>
          <w:sz w:val="24"/>
        </w:rPr>
        <w:t xml:space="preserve">compared </w:t>
      </w:r>
      <w:r w:rsidR="00FE4C60" w:rsidRPr="00494675">
        <w:rPr>
          <w:sz w:val="24"/>
        </w:rPr>
        <w:t>to the total of 20</w:t>
      </w:r>
      <w:r w:rsidR="006828AB" w:rsidRPr="00494675">
        <w:rPr>
          <w:sz w:val="24"/>
        </w:rPr>
        <w:t>20</w:t>
      </w:r>
      <w:r w:rsidR="00FE4C60" w:rsidRPr="00494675">
        <w:rPr>
          <w:sz w:val="24"/>
        </w:rPr>
        <w:t xml:space="preserve"> </w:t>
      </w:r>
      <w:r w:rsidR="00E2083A" w:rsidRPr="00494675">
        <w:rPr>
          <w:sz w:val="24"/>
        </w:rPr>
        <w:t xml:space="preserve">extended </w:t>
      </w:r>
      <w:r w:rsidR="00FE4C60" w:rsidRPr="00494675">
        <w:rPr>
          <w:sz w:val="24"/>
        </w:rPr>
        <w:t xml:space="preserve">tax levy was </w:t>
      </w:r>
      <w:r w:rsidR="00E2083A" w:rsidRPr="00494675">
        <w:rPr>
          <w:sz w:val="24"/>
        </w:rPr>
        <w:t>0</w:t>
      </w:r>
      <w:r w:rsidR="00FE4C60" w:rsidRPr="00494675">
        <w:rPr>
          <w:sz w:val="24"/>
        </w:rPr>
        <w:t>.</w:t>
      </w:r>
      <w:r w:rsidR="006828AB" w:rsidRPr="00494675">
        <w:rPr>
          <w:sz w:val="24"/>
        </w:rPr>
        <w:t>26</w:t>
      </w:r>
      <w:r w:rsidRPr="00494675">
        <w:rPr>
          <w:sz w:val="24"/>
        </w:rPr>
        <w:t>%</w:t>
      </w:r>
      <w:r w:rsidR="00FE4C60" w:rsidRPr="00494675">
        <w:rPr>
          <w:sz w:val="24"/>
        </w:rPr>
        <w:t>.</w:t>
      </w:r>
      <w:r w:rsidRPr="00494675">
        <w:rPr>
          <w:sz w:val="24"/>
        </w:rPr>
        <w:t xml:space="preserve"> </w:t>
      </w:r>
    </w:p>
    <w:p w:rsidR="00FE4C60" w:rsidRPr="00494675" w:rsidRDefault="00FE4C60" w:rsidP="00F97B74">
      <w:pPr>
        <w:rPr>
          <w:sz w:val="24"/>
        </w:rPr>
      </w:pPr>
    </w:p>
    <w:p w:rsidR="00F97B74" w:rsidRPr="006828AB" w:rsidRDefault="00F97B74" w:rsidP="00F97B74">
      <w:pPr>
        <w:rPr>
          <w:sz w:val="24"/>
          <w:highlight w:val="yellow"/>
        </w:rPr>
      </w:pPr>
      <w:r w:rsidRPr="00D51277">
        <w:rPr>
          <w:sz w:val="24"/>
        </w:rPr>
        <w:t>The Budget includes 9</w:t>
      </w:r>
      <w:r w:rsidR="00F476D2" w:rsidRPr="00D51277">
        <w:rPr>
          <w:sz w:val="24"/>
        </w:rPr>
        <w:t>0</w:t>
      </w:r>
      <w:r w:rsidRPr="00D51277">
        <w:rPr>
          <w:sz w:val="24"/>
        </w:rPr>
        <w:t xml:space="preserve">% of the </w:t>
      </w:r>
      <w:r w:rsidR="00F476D2" w:rsidRPr="00D51277">
        <w:rPr>
          <w:sz w:val="24"/>
        </w:rPr>
        <w:t>extended</w:t>
      </w:r>
      <w:r w:rsidRPr="00D51277">
        <w:rPr>
          <w:sz w:val="24"/>
        </w:rPr>
        <w:t xml:space="preserve"> levy amount</w:t>
      </w:r>
      <w:r w:rsidR="00D61796" w:rsidRPr="00D51277">
        <w:rPr>
          <w:sz w:val="24"/>
        </w:rPr>
        <w:t>,</w:t>
      </w:r>
      <w:r w:rsidRPr="00D51277">
        <w:rPr>
          <w:sz w:val="24"/>
        </w:rPr>
        <w:t xml:space="preserve"> allowing for uncollected taxes</w:t>
      </w:r>
      <w:r w:rsidR="00D61796" w:rsidRPr="00D51277">
        <w:rPr>
          <w:sz w:val="24"/>
        </w:rPr>
        <w:t xml:space="preserve"> and loss factors added by Cook County</w:t>
      </w:r>
      <w:r w:rsidRPr="00D51277">
        <w:rPr>
          <w:sz w:val="24"/>
        </w:rPr>
        <w:t>.</w:t>
      </w:r>
      <w:r w:rsidR="00217A16" w:rsidRPr="00D51277">
        <w:rPr>
          <w:sz w:val="24"/>
        </w:rPr>
        <w:t xml:space="preserve">  </w:t>
      </w:r>
      <w:r w:rsidR="004342BE" w:rsidRPr="00A01DB8">
        <w:rPr>
          <w:sz w:val="24"/>
        </w:rPr>
        <w:t>The chart on page 2-7</w:t>
      </w:r>
      <w:r w:rsidR="00E31D02" w:rsidRPr="00A01DB8">
        <w:rPr>
          <w:sz w:val="24"/>
        </w:rPr>
        <w:t xml:space="preserve"> shows the Village’s property tax collection rate for the last ten yea</w:t>
      </w:r>
      <w:r w:rsidR="00E31D02" w:rsidRPr="00494675">
        <w:rPr>
          <w:sz w:val="24"/>
        </w:rPr>
        <w:t xml:space="preserve">rs and provides a detailed understanding of why the Village budgets for property tax revenues at an amount lower than what was levied.  </w:t>
      </w:r>
    </w:p>
    <w:p w:rsidR="00217A16" w:rsidRDefault="00217A16" w:rsidP="00F97B74">
      <w:pPr>
        <w:rPr>
          <w:sz w:val="24"/>
          <w:highlight w:val="yellow"/>
        </w:rPr>
      </w:pPr>
    </w:p>
    <w:p w:rsidR="0082554F" w:rsidRDefault="0082554F" w:rsidP="00F97B74">
      <w:pPr>
        <w:rPr>
          <w:sz w:val="24"/>
          <w:highlight w:val="yellow"/>
        </w:rPr>
      </w:pPr>
    </w:p>
    <w:p w:rsidR="0082554F" w:rsidRDefault="0082554F" w:rsidP="00F97B74">
      <w:pPr>
        <w:rPr>
          <w:sz w:val="24"/>
          <w:highlight w:val="yellow"/>
        </w:rPr>
      </w:pPr>
    </w:p>
    <w:p w:rsidR="0082554F" w:rsidRDefault="0082554F" w:rsidP="00F97B74">
      <w:pPr>
        <w:rPr>
          <w:sz w:val="24"/>
          <w:highlight w:val="yellow"/>
        </w:rPr>
      </w:pPr>
    </w:p>
    <w:p w:rsidR="00D51277" w:rsidRPr="006828AB" w:rsidRDefault="00D51277" w:rsidP="00F97B74">
      <w:pPr>
        <w:rPr>
          <w:sz w:val="24"/>
          <w:highlight w:val="yellow"/>
        </w:rPr>
      </w:pPr>
    </w:p>
    <w:p w:rsidR="00217A16" w:rsidRPr="00494675" w:rsidRDefault="00E31D02" w:rsidP="00F97B74">
      <w:pPr>
        <w:rPr>
          <w:sz w:val="24"/>
        </w:rPr>
      </w:pPr>
      <w:r w:rsidRPr="00494675">
        <w:rPr>
          <w:sz w:val="24"/>
        </w:rPr>
        <w:lastRenderedPageBreak/>
        <w:t>The following chart compares the 20</w:t>
      </w:r>
      <w:r w:rsidR="00494675" w:rsidRPr="00494675">
        <w:rPr>
          <w:sz w:val="24"/>
        </w:rPr>
        <w:t>20</w:t>
      </w:r>
      <w:r w:rsidRPr="00494675">
        <w:rPr>
          <w:sz w:val="24"/>
        </w:rPr>
        <w:t xml:space="preserve"> extended tax levy to the 20</w:t>
      </w:r>
      <w:r w:rsidR="00F476D2" w:rsidRPr="00494675">
        <w:rPr>
          <w:sz w:val="24"/>
        </w:rPr>
        <w:t>2</w:t>
      </w:r>
      <w:r w:rsidR="00494675" w:rsidRPr="00494675">
        <w:rPr>
          <w:sz w:val="24"/>
        </w:rPr>
        <w:t>1</w:t>
      </w:r>
      <w:r w:rsidRPr="00494675">
        <w:rPr>
          <w:sz w:val="24"/>
        </w:rPr>
        <w:t xml:space="preserve"> tax levy and the amount from the 20</w:t>
      </w:r>
      <w:r w:rsidR="00F476D2" w:rsidRPr="00494675">
        <w:rPr>
          <w:sz w:val="24"/>
        </w:rPr>
        <w:t>2</w:t>
      </w:r>
      <w:r w:rsidR="00494675" w:rsidRPr="00494675">
        <w:rPr>
          <w:sz w:val="24"/>
        </w:rPr>
        <w:t>1</w:t>
      </w:r>
      <w:r w:rsidRPr="00494675">
        <w:rPr>
          <w:sz w:val="24"/>
        </w:rPr>
        <w:t xml:space="preserve"> tax levy budgeted in the FY 202</w:t>
      </w:r>
      <w:r w:rsidR="00494675" w:rsidRPr="00494675">
        <w:rPr>
          <w:sz w:val="24"/>
        </w:rPr>
        <w:t>2</w:t>
      </w:r>
      <w:r w:rsidRPr="00494675">
        <w:rPr>
          <w:sz w:val="24"/>
        </w:rPr>
        <w:t>/202</w:t>
      </w:r>
      <w:r w:rsidR="00494675" w:rsidRPr="00494675">
        <w:rPr>
          <w:sz w:val="24"/>
        </w:rPr>
        <w:t>3</w:t>
      </w:r>
      <w:r w:rsidRPr="00494675">
        <w:rPr>
          <w:sz w:val="24"/>
        </w:rPr>
        <w:t xml:space="preserve"> budget.   All amounts in the 20</w:t>
      </w:r>
      <w:r w:rsidR="00F476D2" w:rsidRPr="00494675">
        <w:rPr>
          <w:sz w:val="24"/>
        </w:rPr>
        <w:t>2</w:t>
      </w:r>
      <w:r w:rsidR="00494675" w:rsidRPr="00494675">
        <w:rPr>
          <w:sz w:val="24"/>
        </w:rPr>
        <w:t>1</w:t>
      </w:r>
      <w:r w:rsidRPr="00494675">
        <w:rPr>
          <w:sz w:val="24"/>
        </w:rPr>
        <w:t xml:space="preserve"> Levy Budget column are in the General Fund</w:t>
      </w:r>
      <w:r w:rsidR="009C0BD7" w:rsidRPr="00494675">
        <w:rPr>
          <w:sz w:val="24"/>
        </w:rPr>
        <w:t xml:space="preserve"> except for Bonds, which are in the Bond Retirement Fund</w:t>
      </w:r>
      <w:r w:rsidRPr="00494675">
        <w:rPr>
          <w:sz w:val="24"/>
        </w:rPr>
        <w:t>.</w:t>
      </w:r>
    </w:p>
    <w:p w:rsidR="00217A16" w:rsidRPr="00494675" w:rsidRDefault="00217A16" w:rsidP="00F97B74">
      <w:pPr>
        <w:rPr>
          <w:sz w:val="24"/>
        </w:rPr>
      </w:pPr>
    </w:p>
    <w:p w:rsidR="00FD7CDE" w:rsidRPr="00494675" w:rsidRDefault="00FD7CDE" w:rsidP="00F97B74">
      <w:pPr>
        <w:rPr>
          <w:sz w:val="24"/>
        </w:rPr>
      </w:pPr>
    </w:p>
    <w:tbl>
      <w:tblPr>
        <w:tblW w:w="7830" w:type="dxa"/>
        <w:jc w:val="center"/>
        <w:tblLook w:val="04A0" w:firstRow="1" w:lastRow="0" w:firstColumn="1" w:lastColumn="0" w:noHBand="0" w:noVBand="1"/>
      </w:tblPr>
      <w:tblGrid>
        <w:gridCol w:w="2078"/>
        <w:gridCol w:w="316"/>
        <w:gridCol w:w="1416"/>
        <w:gridCol w:w="240"/>
        <w:gridCol w:w="1892"/>
        <w:gridCol w:w="268"/>
        <w:gridCol w:w="1620"/>
      </w:tblGrid>
      <w:tr w:rsidR="00494675" w:rsidRPr="006828AB" w:rsidTr="004F7CFB">
        <w:trPr>
          <w:trHeight w:val="317"/>
          <w:jc w:val="center"/>
        </w:trPr>
        <w:tc>
          <w:tcPr>
            <w:tcW w:w="2078" w:type="dxa"/>
            <w:tcBorders>
              <w:top w:val="nil"/>
              <w:left w:val="nil"/>
              <w:bottom w:val="nil"/>
              <w:right w:val="nil"/>
            </w:tcBorders>
            <w:shd w:val="clear" w:color="auto" w:fill="auto"/>
            <w:noWrap/>
          </w:tcPr>
          <w:p w:rsidR="004F7CFB" w:rsidRPr="006828AB" w:rsidRDefault="004F7CFB" w:rsidP="00FE7EF0">
            <w:pPr>
              <w:rPr>
                <w:sz w:val="24"/>
                <w:szCs w:val="24"/>
                <w:highlight w:val="yellow"/>
              </w:rPr>
            </w:pPr>
          </w:p>
        </w:tc>
        <w:tc>
          <w:tcPr>
            <w:tcW w:w="316" w:type="dxa"/>
            <w:tcBorders>
              <w:top w:val="nil"/>
              <w:left w:val="nil"/>
              <w:bottom w:val="nil"/>
              <w:right w:val="nil"/>
            </w:tcBorders>
            <w:shd w:val="clear" w:color="auto" w:fill="auto"/>
            <w:noWrap/>
          </w:tcPr>
          <w:p w:rsidR="004F7CFB" w:rsidRPr="006828AB" w:rsidRDefault="004F7CFB" w:rsidP="00FE7EF0">
            <w:pPr>
              <w:rPr>
                <w:b/>
                <w:bCs/>
                <w:sz w:val="24"/>
                <w:szCs w:val="24"/>
                <w:highlight w:val="yellow"/>
              </w:rPr>
            </w:pPr>
          </w:p>
        </w:tc>
        <w:tc>
          <w:tcPr>
            <w:tcW w:w="1416" w:type="dxa"/>
            <w:tcBorders>
              <w:top w:val="nil"/>
              <w:left w:val="nil"/>
              <w:bottom w:val="nil"/>
              <w:right w:val="nil"/>
            </w:tcBorders>
            <w:shd w:val="clear" w:color="auto" w:fill="auto"/>
            <w:noWrap/>
          </w:tcPr>
          <w:p w:rsidR="004F7CFB" w:rsidRPr="006828AB" w:rsidRDefault="004F7CFB" w:rsidP="00FE7EF0">
            <w:pPr>
              <w:jc w:val="right"/>
              <w:rPr>
                <w:b/>
                <w:bCs/>
                <w:sz w:val="24"/>
                <w:szCs w:val="24"/>
                <w:highlight w:val="yellow"/>
                <w:u w:val="single"/>
              </w:rPr>
            </w:pPr>
          </w:p>
        </w:tc>
        <w:tc>
          <w:tcPr>
            <w:tcW w:w="240" w:type="dxa"/>
            <w:tcBorders>
              <w:top w:val="nil"/>
              <w:left w:val="nil"/>
              <w:bottom w:val="nil"/>
              <w:right w:val="nil"/>
            </w:tcBorders>
            <w:shd w:val="clear" w:color="auto" w:fill="auto"/>
            <w:noWrap/>
          </w:tcPr>
          <w:p w:rsidR="004F7CFB" w:rsidRPr="006828AB" w:rsidRDefault="004F7CFB" w:rsidP="00FE7EF0">
            <w:pPr>
              <w:jc w:val="center"/>
              <w:rPr>
                <w:b/>
                <w:bCs/>
                <w:sz w:val="24"/>
                <w:szCs w:val="24"/>
                <w:highlight w:val="yellow"/>
              </w:rPr>
            </w:pPr>
          </w:p>
        </w:tc>
        <w:tc>
          <w:tcPr>
            <w:tcW w:w="1892" w:type="dxa"/>
            <w:tcBorders>
              <w:top w:val="nil"/>
              <w:left w:val="nil"/>
              <w:bottom w:val="nil"/>
              <w:right w:val="nil"/>
            </w:tcBorders>
            <w:shd w:val="clear" w:color="auto" w:fill="auto"/>
            <w:noWrap/>
          </w:tcPr>
          <w:p w:rsidR="004F7CFB" w:rsidRPr="00494675" w:rsidRDefault="004F7CFB" w:rsidP="004F7CFB">
            <w:pPr>
              <w:jc w:val="right"/>
              <w:rPr>
                <w:b/>
                <w:bCs/>
                <w:sz w:val="24"/>
                <w:szCs w:val="24"/>
                <w:u w:val="single"/>
              </w:rPr>
            </w:pPr>
          </w:p>
        </w:tc>
        <w:tc>
          <w:tcPr>
            <w:tcW w:w="268" w:type="dxa"/>
            <w:tcBorders>
              <w:top w:val="nil"/>
              <w:left w:val="nil"/>
              <w:bottom w:val="nil"/>
              <w:right w:val="nil"/>
            </w:tcBorders>
          </w:tcPr>
          <w:p w:rsidR="004F7CFB" w:rsidRPr="006828AB" w:rsidRDefault="004F7CFB" w:rsidP="00FE7EF0">
            <w:pPr>
              <w:jc w:val="center"/>
              <w:rPr>
                <w:b/>
                <w:bCs/>
                <w:sz w:val="24"/>
                <w:szCs w:val="24"/>
                <w:highlight w:val="yellow"/>
              </w:rPr>
            </w:pPr>
          </w:p>
        </w:tc>
        <w:tc>
          <w:tcPr>
            <w:tcW w:w="1620" w:type="dxa"/>
            <w:tcBorders>
              <w:top w:val="nil"/>
              <w:left w:val="nil"/>
              <w:bottom w:val="nil"/>
              <w:right w:val="nil"/>
            </w:tcBorders>
          </w:tcPr>
          <w:p w:rsidR="004F7CFB" w:rsidRPr="00D51277" w:rsidRDefault="004F7CFB" w:rsidP="00494675">
            <w:pPr>
              <w:jc w:val="center"/>
              <w:rPr>
                <w:b/>
                <w:bCs/>
                <w:sz w:val="24"/>
                <w:szCs w:val="24"/>
                <w:u w:val="single"/>
              </w:rPr>
            </w:pPr>
            <w:r w:rsidRPr="00D51277">
              <w:rPr>
                <w:b/>
                <w:bCs/>
                <w:sz w:val="24"/>
                <w:szCs w:val="24"/>
                <w:u w:val="single"/>
              </w:rPr>
              <w:t>20</w:t>
            </w:r>
            <w:r w:rsidR="00F476D2" w:rsidRPr="00D51277">
              <w:rPr>
                <w:b/>
                <w:bCs/>
                <w:sz w:val="24"/>
                <w:szCs w:val="24"/>
                <w:u w:val="single"/>
              </w:rPr>
              <w:t>2</w:t>
            </w:r>
            <w:r w:rsidR="00494675" w:rsidRPr="00D51277">
              <w:rPr>
                <w:b/>
                <w:bCs/>
                <w:sz w:val="24"/>
                <w:szCs w:val="24"/>
                <w:u w:val="single"/>
              </w:rPr>
              <w:t>1</w:t>
            </w:r>
          </w:p>
        </w:tc>
      </w:tr>
      <w:tr w:rsidR="00494675" w:rsidRPr="006828AB" w:rsidTr="004F7CFB">
        <w:trPr>
          <w:trHeight w:val="317"/>
          <w:jc w:val="center"/>
        </w:trPr>
        <w:tc>
          <w:tcPr>
            <w:tcW w:w="2078" w:type="dxa"/>
            <w:tcBorders>
              <w:top w:val="nil"/>
              <w:left w:val="nil"/>
              <w:bottom w:val="nil"/>
              <w:right w:val="nil"/>
            </w:tcBorders>
            <w:shd w:val="clear" w:color="auto" w:fill="auto"/>
            <w:noWrap/>
            <w:hideMark/>
          </w:tcPr>
          <w:p w:rsidR="00FE7EF0" w:rsidRPr="00494675" w:rsidRDefault="00FE7EF0" w:rsidP="00FE7EF0">
            <w:pPr>
              <w:rPr>
                <w:sz w:val="24"/>
                <w:szCs w:val="24"/>
              </w:rPr>
            </w:pPr>
          </w:p>
        </w:tc>
        <w:tc>
          <w:tcPr>
            <w:tcW w:w="316" w:type="dxa"/>
            <w:tcBorders>
              <w:top w:val="nil"/>
              <w:left w:val="nil"/>
              <w:bottom w:val="nil"/>
              <w:right w:val="nil"/>
            </w:tcBorders>
            <w:shd w:val="clear" w:color="auto" w:fill="auto"/>
            <w:noWrap/>
            <w:hideMark/>
          </w:tcPr>
          <w:p w:rsidR="00FE7EF0" w:rsidRPr="00494675" w:rsidRDefault="00FE7EF0" w:rsidP="00FE7EF0">
            <w:pPr>
              <w:rPr>
                <w:b/>
                <w:bCs/>
                <w:sz w:val="24"/>
                <w:szCs w:val="24"/>
              </w:rPr>
            </w:pPr>
          </w:p>
        </w:tc>
        <w:tc>
          <w:tcPr>
            <w:tcW w:w="1416" w:type="dxa"/>
            <w:tcBorders>
              <w:top w:val="nil"/>
              <w:left w:val="nil"/>
              <w:bottom w:val="nil"/>
              <w:right w:val="nil"/>
            </w:tcBorders>
            <w:shd w:val="clear" w:color="auto" w:fill="auto"/>
            <w:noWrap/>
            <w:hideMark/>
          </w:tcPr>
          <w:p w:rsidR="00FE7EF0" w:rsidRPr="00494675" w:rsidRDefault="004F7CFB" w:rsidP="00494675">
            <w:pPr>
              <w:jc w:val="center"/>
              <w:rPr>
                <w:b/>
                <w:bCs/>
                <w:sz w:val="24"/>
                <w:szCs w:val="24"/>
                <w:u w:val="single"/>
              </w:rPr>
            </w:pPr>
            <w:r w:rsidRPr="00494675">
              <w:rPr>
                <w:b/>
                <w:bCs/>
                <w:sz w:val="24"/>
                <w:szCs w:val="24"/>
              </w:rPr>
              <w:t xml:space="preserve">  </w:t>
            </w:r>
            <w:r w:rsidR="00FE7EF0" w:rsidRPr="00494675">
              <w:rPr>
                <w:b/>
                <w:bCs/>
                <w:sz w:val="24"/>
                <w:szCs w:val="24"/>
                <w:u w:val="single"/>
              </w:rPr>
              <w:t>20</w:t>
            </w:r>
            <w:r w:rsidR="00494675" w:rsidRPr="00494675">
              <w:rPr>
                <w:b/>
                <w:bCs/>
                <w:sz w:val="24"/>
                <w:szCs w:val="24"/>
                <w:u w:val="single"/>
              </w:rPr>
              <w:t>20</w:t>
            </w:r>
            <w:r w:rsidR="00FE7EF0" w:rsidRPr="00494675">
              <w:rPr>
                <w:b/>
                <w:bCs/>
                <w:sz w:val="24"/>
                <w:szCs w:val="24"/>
                <w:u w:val="single"/>
              </w:rPr>
              <w:t xml:space="preserve"> Levy</w:t>
            </w:r>
          </w:p>
        </w:tc>
        <w:tc>
          <w:tcPr>
            <w:tcW w:w="240" w:type="dxa"/>
            <w:tcBorders>
              <w:top w:val="nil"/>
              <w:left w:val="nil"/>
              <w:bottom w:val="nil"/>
              <w:right w:val="nil"/>
            </w:tcBorders>
            <w:shd w:val="clear" w:color="auto" w:fill="auto"/>
            <w:noWrap/>
            <w:hideMark/>
          </w:tcPr>
          <w:p w:rsidR="00FE7EF0" w:rsidRPr="006828AB" w:rsidRDefault="00FE7EF0" w:rsidP="004F7CFB">
            <w:pPr>
              <w:jc w:val="center"/>
              <w:rPr>
                <w:b/>
                <w:bCs/>
                <w:sz w:val="24"/>
                <w:szCs w:val="24"/>
                <w:highlight w:val="yellow"/>
              </w:rPr>
            </w:pPr>
          </w:p>
        </w:tc>
        <w:tc>
          <w:tcPr>
            <w:tcW w:w="1892" w:type="dxa"/>
            <w:tcBorders>
              <w:top w:val="nil"/>
              <w:left w:val="nil"/>
              <w:bottom w:val="nil"/>
              <w:right w:val="nil"/>
            </w:tcBorders>
            <w:shd w:val="clear" w:color="auto" w:fill="auto"/>
            <w:noWrap/>
            <w:hideMark/>
          </w:tcPr>
          <w:p w:rsidR="00FE7EF0" w:rsidRPr="00494675" w:rsidRDefault="004F7CFB" w:rsidP="00494675">
            <w:pPr>
              <w:jc w:val="center"/>
              <w:rPr>
                <w:b/>
                <w:bCs/>
                <w:sz w:val="24"/>
                <w:szCs w:val="24"/>
                <w:u w:val="single"/>
              </w:rPr>
            </w:pPr>
            <w:r w:rsidRPr="00494675">
              <w:rPr>
                <w:b/>
                <w:bCs/>
                <w:sz w:val="24"/>
                <w:szCs w:val="24"/>
              </w:rPr>
              <w:t xml:space="preserve">        </w:t>
            </w:r>
            <w:r w:rsidR="00FE7EF0" w:rsidRPr="00494675">
              <w:rPr>
                <w:b/>
                <w:bCs/>
                <w:sz w:val="24"/>
                <w:szCs w:val="24"/>
                <w:u w:val="single"/>
              </w:rPr>
              <w:t>20</w:t>
            </w:r>
            <w:r w:rsidR="00F476D2" w:rsidRPr="00494675">
              <w:rPr>
                <w:b/>
                <w:bCs/>
                <w:sz w:val="24"/>
                <w:szCs w:val="24"/>
                <w:u w:val="single"/>
              </w:rPr>
              <w:t>2</w:t>
            </w:r>
            <w:r w:rsidR="00494675" w:rsidRPr="00494675">
              <w:rPr>
                <w:b/>
                <w:bCs/>
                <w:sz w:val="24"/>
                <w:szCs w:val="24"/>
                <w:u w:val="single"/>
              </w:rPr>
              <w:t>1</w:t>
            </w:r>
            <w:r w:rsidR="00FE7EF0" w:rsidRPr="00494675">
              <w:rPr>
                <w:b/>
                <w:bCs/>
                <w:sz w:val="24"/>
                <w:szCs w:val="24"/>
                <w:u w:val="single"/>
              </w:rPr>
              <w:t xml:space="preserve"> Levy</w:t>
            </w:r>
          </w:p>
        </w:tc>
        <w:tc>
          <w:tcPr>
            <w:tcW w:w="268" w:type="dxa"/>
            <w:tcBorders>
              <w:top w:val="nil"/>
              <w:left w:val="nil"/>
              <w:bottom w:val="nil"/>
              <w:right w:val="nil"/>
            </w:tcBorders>
          </w:tcPr>
          <w:p w:rsidR="00FE7EF0" w:rsidRPr="006828AB" w:rsidRDefault="00FE7EF0" w:rsidP="00FE7EF0">
            <w:pPr>
              <w:jc w:val="center"/>
              <w:rPr>
                <w:b/>
                <w:bCs/>
                <w:sz w:val="24"/>
                <w:szCs w:val="24"/>
                <w:highlight w:val="yellow"/>
              </w:rPr>
            </w:pPr>
          </w:p>
        </w:tc>
        <w:tc>
          <w:tcPr>
            <w:tcW w:w="1620" w:type="dxa"/>
            <w:tcBorders>
              <w:top w:val="nil"/>
              <w:left w:val="nil"/>
              <w:bottom w:val="nil"/>
              <w:right w:val="nil"/>
            </w:tcBorders>
          </w:tcPr>
          <w:p w:rsidR="00FE7EF0" w:rsidRPr="00D51277" w:rsidRDefault="000C5D9C" w:rsidP="00D61796">
            <w:pPr>
              <w:jc w:val="center"/>
              <w:rPr>
                <w:b/>
                <w:bCs/>
                <w:sz w:val="24"/>
                <w:szCs w:val="24"/>
                <w:u w:val="single"/>
              </w:rPr>
            </w:pPr>
            <w:r w:rsidRPr="00D51277">
              <w:rPr>
                <w:b/>
                <w:bCs/>
                <w:sz w:val="24"/>
                <w:szCs w:val="24"/>
                <w:u w:val="single"/>
              </w:rPr>
              <w:t xml:space="preserve">Levy </w:t>
            </w:r>
            <w:r w:rsidR="00D61796" w:rsidRPr="00D51277">
              <w:rPr>
                <w:b/>
                <w:bCs/>
                <w:sz w:val="24"/>
                <w:szCs w:val="24"/>
                <w:u w:val="single"/>
              </w:rPr>
              <w:t>Budget</w:t>
            </w:r>
          </w:p>
        </w:tc>
      </w:tr>
      <w:tr w:rsidR="00494675" w:rsidRPr="006828AB" w:rsidTr="004F7CFB">
        <w:trPr>
          <w:trHeight w:val="317"/>
          <w:jc w:val="center"/>
        </w:trPr>
        <w:tc>
          <w:tcPr>
            <w:tcW w:w="2078" w:type="dxa"/>
            <w:tcBorders>
              <w:top w:val="nil"/>
              <w:left w:val="nil"/>
              <w:bottom w:val="nil"/>
              <w:right w:val="nil"/>
            </w:tcBorders>
            <w:shd w:val="clear" w:color="auto" w:fill="auto"/>
            <w:noWrap/>
            <w:hideMark/>
          </w:tcPr>
          <w:p w:rsidR="00FE7EF0" w:rsidRPr="00494675" w:rsidRDefault="00FE7EF0" w:rsidP="0049376D">
            <w:pPr>
              <w:rPr>
                <w:sz w:val="22"/>
                <w:szCs w:val="22"/>
              </w:rPr>
            </w:pPr>
            <w:r w:rsidRPr="00494675">
              <w:rPr>
                <w:sz w:val="22"/>
                <w:szCs w:val="22"/>
              </w:rPr>
              <w:t>General Corporate</w:t>
            </w:r>
          </w:p>
        </w:tc>
        <w:tc>
          <w:tcPr>
            <w:tcW w:w="316" w:type="dxa"/>
            <w:tcBorders>
              <w:top w:val="nil"/>
              <w:left w:val="nil"/>
              <w:bottom w:val="nil"/>
              <w:right w:val="nil"/>
            </w:tcBorders>
            <w:shd w:val="clear" w:color="auto" w:fill="auto"/>
            <w:noWrap/>
            <w:hideMark/>
          </w:tcPr>
          <w:p w:rsidR="00FE7EF0" w:rsidRPr="00494675" w:rsidRDefault="00FE7EF0" w:rsidP="00FE7EF0">
            <w:pPr>
              <w:rPr>
                <w:sz w:val="24"/>
                <w:szCs w:val="24"/>
              </w:rPr>
            </w:pPr>
          </w:p>
        </w:tc>
        <w:tc>
          <w:tcPr>
            <w:tcW w:w="1416" w:type="dxa"/>
            <w:tcBorders>
              <w:top w:val="nil"/>
              <w:left w:val="nil"/>
              <w:bottom w:val="nil"/>
              <w:right w:val="nil"/>
            </w:tcBorders>
            <w:shd w:val="clear" w:color="auto" w:fill="auto"/>
            <w:noWrap/>
            <w:hideMark/>
          </w:tcPr>
          <w:p w:rsidR="00FE7EF0" w:rsidRPr="00494675" w:rsidRDefault="00FE7EF0" w:rsidP="00494675">
            <w:pPr>
              <w:jc w:val="right"/>
              <w:rPr>
                <w:sz w:val="24"/>
                <w:szCs w:val="24"/>
              </w:rPr>
            </w:pPr>
            <w:r w:rsidRPr="00494675">
              <w:rPr>
                <w:sz w:val="24"/>
                <w:szCs w:val="24"/>
              </w:rPr>
              <w:t>$1</w:t>
            </w:r>
            <w:r w:rsidR="00687AE0" w:rsidRPr="00494675">
              <w:rPr>
                <w:sz w:val="24"/>
                <w:szCs w:val="24"/>
              </w:rPr>
              <w:t>2</w:t>
            </w:r>
            <w:r w:rsidRPr="00494675">
              <w:rPr>
                <w:sz w:val="24"/>
                <w:szCs w:val="24"/>
              </w:rPr>
              <w:t>,</w:t>
            </w:r>
            <w:r w:rsidR="00494675" w:rsidRPr="00494675">
              <w:rPr>
                <w:sz w:val="24"/>
                <w:szCs w:val="24"/>
              </w:rPr>
              <w:t>883</w:t>
            </w:r>
            <w:r w:rsidR="00D7288E" w:rsidRPr="00494675">
              <w:rPr>
                <w:sz w:val="24"/>
                <w:szCs w:val="24"/>
              </w:rPr>
              <w:t>,</w:t>
            </w:r>
            <w:r w:rsidR="00494675" w:rsidRPr="00494675">
              <w:rPr>
                <w:sz w:val="24"/>
                <w:szCs w:val="24"/>
              </w:rPr>
              <w:t>791</w:t>
            </w:r>
            <w:r w:rsidRPr="00494675">
              <w:rPr>
                <w:sz w:val="24"/>
                <w:szCs w:val="24"/>
              </w:rPr>
              <w:t xml:space="preserve"> </w:t>
            </w:r>
          </w:p>
        </w:tc>
        <w:tc>
          <w:tcPr>
            <w:tcW w:w="240" w:type="dxa"/>
            <w:tcBorders>
              <w:top w:val="nil"/>
              <w:left w:val="nil"/>
              <w:bottom w:val="nil"/>
              <w:right w:val="nil"/>
            </w:tcBorders>
            <w:shd w:val="clear" w:color="auto" w:fill="auto"/>
            <w:noWrap/>
            <w:hideMark/>
          </w:tcPr>
          <w:p w:rsidR="00FE7EF0" w:rsidRPr="006828AB" w:rsidRDefault="00FE7EF0" w:rsidP="00FE7EF0">
            <w:pPr>
              <w:rPr>
                <w:sz w:val="24"/>
                <w:szCs w:val="24"/>
                <w:highlight w:val="yellow"/>
              </w:rPr>
            </w:pPr>
          </w:p>
        </w:tc>
        <w:tc>
          <w:tcPr>
            <w:tcW w:w="1892" w:type="dxa"/>
            <w:tcBorders>
              <w:top w:val="nil"/>
              <w:left w:val="nil"/>
              <w:bottom w:val="nil"/>
              <w:right w:val="nil"/>
            </w:tcBorders>
            <w:shd w:val="clear" w:color="auto" w:fill="auto"/>
            <w:noWrap/>
            <w:hideMark/>
          </w:tcPr>
          <w:p w:rsidR="00FE7EF0" w:rsidRPr="00494675" w:rsidRDefault="00FE7EF0" w:rsidP="00494675">
            <w:pPr>
              <w:jc w:val="right"/>
              <w:rPr>
                <w:sz w:val="24"/>
                <w:szCs w:val="24"/>
              </w:rPr>
            </w:pPr>
            <w:r w:rsidRPr="00494675">
              <w:rPr>
                <w:sz w:val="24"/>
                <w:szCs w:val="24"/>
              </w:rPr>
              <w:t>$1</w:t>
            </w:r>
            <w:r w:rsidR="00687AE0" w:rsidRPr="00494675">
              <w:rPr>
                <w:sz w:val="24"/>
                <w:szCs w:val="24"/>
              </w:rPr>
              <w:t>2</w:t>
            </w:r>
            <w:r w:rsidRPr="00494675">
              <w:rPr>
                <w:sz w:val="24"/>
                <w:szCs w:val="24"/>
              </w:rPr>
              <w:t>,</w:t>
            </w:r>
            <w:r w:rsidR="00494675" w:rsidRPr="00494675">
              <w:rPr>
                <w:sz w:val="24"/>
                <w:szCs w:val="24"/>
              </w:rPr>
              <w:t>798</w:t>
            </w:r>
            <w:r w:rsidR="00837E20" w:rsidRPr="00494675">
              <w:rPr>
                <w:sz w:val="24"/>
                <w:szCs w:val="24"/>
              </w:rPr>
              <w:t>,</w:t>
            </w:r>
            <w:r w:rsidR="00494675" w:rsidRPr="00494675">
              <w:rPr>
                <w:sz w:val="24"/>
                <w:szCs w:val="24"/>
              </w:rPr>
              <w:t>805</w:t>
            </w:r>
          </w:p>
        </w:tc>
        <w:tc>
          <w:tcPr>
            <w:tcW w:w="268" w:type="dxa"/>
            <w:tcBorders>
              <w:top w:val="nil"/>
              <w:left w:val="nil"/>
              <w:bottom w:val="nil"/>
              <w:right w:val="nil"/>
            </w:tcBorders>
          </w:tcPr>
          <w:p w:rsidR="00FE7EF0" w:rsidRPr="006828AB" w:rsidRDefault="00FE7EF0" w:rsidP="00FE7EF0">
            <w:pPr>
              <w:rPr>
                <w:sz w:val="24"/>
                <w:szCs w:val="24"/>
                <w:highlight w:val="yellow"/>
              </w:rPr>
            </w:pPr>
          </w:p>
        </w:tc>
        <w:tc>
          <w:tcPr>
            <w:tcW w:w="1620" w:type="dxa"/>
            <w:tcBorders>
              <w:top w:val="nil"/>
              <w:left w:val="nil"/>
              <w:bottom w:val="nil"/>
              <w:right w:val="nil"/>
            </w:tcBorders>
          </w:tcPr>
          <w:p w:rsidR="00FE7EF0" w:rsidRPr="00D51277" w:rsidRDefault="00FE7EF0" w:rsidP="00D51277">
            <w:pPr>
              <w:jc w:val="right"/>
              <w:rPr>
                <w:sz w:val="24"/>
                <w:szCs w:val="24"/>
              </w:rPr>
            </w:pPr>
            <w:r w:rsidRPr="00D51277">
              <w:rPr>
                <w:sz w:val="24"/>
                <w:szCs w:val="24"/>
              </w:rPr>
              <w:t>$1</w:t>
            </w:r>
            <w:r w:rsidR="00D61796" w:rsidRPr="00D51277">
              <w:rPr>
                <w:sz w:val="24"/>
                <w:szCs w:val="24"/>
              </w:rPr>
              <w:t>1</w:t>
            </w:r>
            <w:r w:rsidRPr="00D51277">
              <w:rPr>
                <w:sz w:val="24"/>
                <w:szCs w:val="24"/>
              </w:rPr>
              <w:t>,</w:t>
            </w:r>
            <w:r w:rsidR="00D51277" w:rsidRPr="00D51277">
              <w:rPr>
                <w:sz w:val="24"/>
                <w:szCs w:val="24"/>
              </w:rPr>
              <w:t>813</w:t>
            </w:r>
            <w:r w:rsidR="00994AB5" w:rsidRPr="00D51277">
              <w:rPr>
                <w:sz w:val="24"/>
                <w:szCs w:val="24"/>
              </w:rPr>
              <w:t>,</w:t>
            </w:r>
            <w:r w:rsidR="00D51277" w:rsidRPr="00D51277">
              <w:rPr>
                <w:sz w:val="24"/>
                <w:szCs w:val="24"/>
              </w:rPr>
              <w:t>348</w:t>
            </w:r>
            <w:r w:rsidRPr="00D51277">
              <w:rPr>
                <w:sz w:val="24"/>
                <w:szCs w:val="24"/>
              </w:rPr>
              <w:t xml:space="preserve"> </w:t>
            </w:r>
          </w:p>
        </w:tc>
      </w:tr>
      <w:tr w:rsidR="00494675" w:rsidRPr="006828AB" w:rsidTr="004F7CFB">
        <w:trPr>
          <w:trHeight w:val="317"/>
          <w:jc w:val="center"/>
        </w:trPr>
        <w:tc>
          <w:tcPr>
            <w:tcW w:w="2078" w:type="dxa"/>
            <w:tcBorders>
              <w:top w:val="nil"/>
              <w:left w:val="nil"/>
              <w:bottom w:val="nil"/>
              <w:right w:val="nil"/>
            </w:tcBorders>
            <w:shd w:val="clear" w:color="auto" w:fill="auto"/>
            <w:noWrap/>
            <w:hideMark/>
          </w:tcPr>
          <w:p w:rsidR="00FE7EF0" w:rsidRPr="00494675" w:rsidRDefault="00FE7EF0" w:rsidP="00FE7EF0">
            <w:pPr>
              <w:rPr>
                <w:sz w:val="24"/>
                <w:szCs w:val="24"/>
              </w:rPr>
            </w:pPr>
            <w:r w:rsidRPr="00494675">
              <w:rPr>
                <w:sz w:val="24"/>
                <w:szCs w:val="24"/>
              </w:rPr>
              <w:t>IMRF</w:t>
            </w:r>
          </w:p>
        </w:tc>
        <w:tc>
          <w:tcPr>
            <w:tcW w:w="316" w:type="dxa"/>
            <w:tcBorders>
              <w:top w:val="nil"/>
              <w:left w:val="nil"/>
              <w:bottom w:val="nil"/>
              <w:right w:val="nil"/>
            </w:tcBorders>
            <w:shd w:val="clear" w:color="auto" w:fill="auto"/>
            <w:noWrap/>
            <w:hideMark/>
          </w:tcPr>
          <w:p w:rsidR="00FE7EF0" w:rsidRPr="00494675" w:rsidRDefault="00FE7EF0" w:rsidP="00FE7EF0">
            <w:pPr>
              <w:rPr>
                <w:sz w:val="24"/>
                <w:szCs w:val="24"/>
              </w:rPr>
            </w:pPr>
          </w:p>
        </w:tc>
        <w:tc>
          <w:tcPr>
            <w:tcW w:w="1416" w:type="dxa"/>
            <w:tcBorders>
              <w:top w:val="nil"/>
              <w:left w:val="nil"/>
              <w:bottom w:val="nil"/>
              <w:right w:val="nil"/>
            </w:tcBorders>
            <w:shd w:val="clear" w:color="auto" w:fill="auto"/>
            <w:noWrap/>
            <w:hideMark/>
          </w:tcPr>
          <w:p w:rsidR="00FE7EF0" w:rsidRPr="00494675" w:rsidRDefault="0049376D" w:rsidP="00494675">
            <w:pPr>
              <w:jc w:val="right"/>
              <w:rPr>
                <w:sz w:val="24"/>
                <w:szCs w:val="24"/>
              </w:rPr>
            </w:pPr>
            <w:r w:rsidRPr="00494675">
              <w:rPr>
                <w:sz w:val="24"/>
                <w:szCs w:val="24"/>
              </w:rPr>
              <w:t>6</w:t>
            </w:r>
            <w:r w:rsidR="00494675" w:rsidRPr="00494675">
              <w:rPr>
                <w:sz w:val="24"/>
                <w:szCs w:val="24"/>
              </w:rPr>
              <w:t>2</w:t>
            </w:r>
            <w:r w:rsidRPr="00494675">
              <w:rPr>
                <w:sz w:val="24"/>
                <w:szCs w:val="24"/>
              </w:rPr>
              <w:t>1</w:t>
            </w:r>
            <w:r w:rsidR="002F3E7F" w:rsidRPr="00494675">
              <w:rPr>
                <w:sz w:val="24"/>
                <w:szCs w:val="24"/>
              </w:rPr>
              <w:t>,</w:t>
            </w:r>
            <w:r w:rsidRPr="00494675">
              <w:rPr>
                <w:sz w:val="24"/>
                <w:szCs w:val="24"/>
              </w:rPr>
              <w:t>1</w:t>
            </w:r>
            <w:r w:rsidR="00494675" w:rsidRPr="00494675">
              <w:rPr>
                <w:sz w:val="24"/>
                <w:szCs w:val="24"/>
              </w:rPr>
              <w:t>26</w:t>
            </w:r>
          </w:p>
        </w:tc>
        <w:tc>
          <w:tcPr>
            <w:tcW w:w="240" w:type="dxa"/>
            <w:tcBorders>
              <w:top w:val="nil"/>
              <w:left w:val="nil"/>
              <w:bottom w:val="nil"/>
              <w:right w:val="nil"/>
            </w:tcBorders>
            <w:shd w:val="clear" w:color="auto" w:fill="auto"/>
            <w:noWrap/>
            <w:hideMark/>
          </w:tcPr>
          <w:p w:rsidR="00FE7EF0" w:rsidRPr="006828AB" w:rsidRDefault="00FE7EF0" w:rsidP="00FE7EF0">
            <w:pPr>
              <w:rPr>
                <w:sz w:val="24"/>
                <w:szCs w:val="24"/>
                <w:highlight w:val="yellow"/>
              </w:rPr>
            </w:pPr>
          </w:p>
        </w:tc>
        <w:tc>
          <w:tcPr>
            <w:tcW w:w="1892" w:type="dxa"/>
            <w:tcBorders>
              <w:top w:val="nil"/>
              <w:left w:val="nil"/>
              <w:bottom w:val="nil"/>
              <w:right w:val="nil"/>
            </w:tcBorders>
            <w:shd w:val="clear" w:color="auto" w:fill="auto"/>
            <w:noWrap/>
            <w:hideMark/>
          </w:tcPr>
          <w:p w:rsidR="00FE7EF0" w:rsidRPr="00494675" w:rsidRDefault="0049376D" w:rsidP="00494675">
            <w:pPr>
              <w:jc w:val="right"/>
              <w:rPr>
                <w:sz w:val="24"/>
                <w:szCs w:val="24"/>
              </w:rPr>
            </w:pPr>
            <w:r w:rsidRPr="00494675">
              <w:rPr>
                <w:sz w:val="24"/>
                <w:szCs w:val="24"/>
              </w:rPr>
              <w:t>6</w:t>
            </w:r>
            <w:r w:rsidR="00494675" w:rsidRPr="00494675">
              <w:rPr>
                <w:sz w:val="24"/>
                <w:szCs w:val="24"/>
              </w:rPr>
              <w:t>36</w:t>
            </w:r>
            <w:r w:rsidR="006A0C58" w:rsidRPr="00494675">
              <w:rPr>
                <w:sz w:val="24"/>
                <w:szCs w:val="24"/>
              </w:rPr>
              <w:t>,</w:t>
            </w:r>
            <w:r w:rsidR="00494675" w:rsidRPr="00494675">
              <w:rPr>
                <w:sz w:val="24"/>
                <w:szCs w:val="24"/>
              </w:rPr>
              <w:t>490</w:t>
            </w:r>
          </w:p>
        </w:tc>
        <w:tc>
          <w:tcPr>
            <w:tcW w:w="268" w:type="dxa"/>
            <w:tcBorders>
              <w:top w:val="nil"/>
              <w:left w:val="nil"/>
              <w:bottom w:val="nil"/>
              <w:right w:val="nil"/>
            </w:tcBorders>
          </w:tcPr>
          <w:p w:rsidR="00FE7EF0" w:rsidRPr="006828AB" w:rsidRDefault="00FE7EF0" w:rsidP="00FE7EF0">
            <w:pPr>
              <w:rPr>
                <w:sz w:val="24"/>
                <w:szCs w:val="24"/>
                <w:highlight w:val="yellow"/>
              </w:rPr>
            </w:pPr>
          </w:p>
        </w:tc>
        <w:tc>
          <w:tcPr>
            <w:tcW w:w="1620" w:type="dxa"/>
            <w:tcBorders>
              <w:top w:val="nil"/>
              <w:left w:val="nil"/>
              <w:bottom w:val="nil"/>
              <w:right w:val="nil"/>
            </w:tcBorders>
          </w:tcPr>
          <w:p w:rsidR="00FE7EF0" w:rsidRPr="00D51277" w:rsidRDefault="00933638" w:rsidP="00D51277">
            <w:pPr>
              <w:jc w:val="right"/>
              <w:rPr>
                <w:sz w:val="24"/>
                <w:szCs w:val="24"/>
              </w:rPr>
            </w:pPr>
            <w:r w:rsidRPr="00D51277">
              <w:rPr>
                <w:sz w:val="24"/>
                <w:szCs w:val="24"/>
              </w:rPr>
              <w:t>5</w:t>
            </w:r>
            <w:r w:rsidR="00D51277" w:rsidRPr="00D51277">
              <w:rPr>
                <w:sz w:val="24"/>
                <w:szCs w:val="24"/>
              </w:rPr>
              <w:t>87</w:t>
            </w:r>
            <w:r w:rsidRPr="00D51277">
              <w:rPr>
                <w:sz w:val="24"/>
                <w:szCs w:val="24"/>
              </w:rPr>
              <w:t>,</w:t>
            </w:r>
            <w:r w:rsidR="00D51277" w:rsidRPr="00D51277">
              <w:rPr>
                <w:sz w:val="24"/>
                <w:szCs w:val="24"/>
              </w:rPr>
              <w:t>48</w:t>
            </w:r>
            <w:r w:rsidR="000374AA" w:rsidRPr="00D51277">
              <w:rPr>
                <w:sz w:val="24"/>
                <w:szCs w:val="24"/>
              </w:rPr>
              <w:t>3</w:t>
            </w:r>
          </w:p>
        </w:tc>
      </w:tr>
      <w:tr w:rsidR="00494675" w:rsidRPr="006828AB" w:rsidTr="004F7CFB">
        <w:trPr>
          <w:trHeight w:val="317"/>
          <w:jc w:val="center"/>
        </w:trPr>
        <w:tc>
          <w:tcPr>
            <w:tcW w:w="2078" w:type="dxa"/>
            <w:tcBorders>
              <w:top w:val="nil"/>
              <w:left w:val="nil"/>
              <w:bottom w:val="nil"/>
              <w:right w:val="nil"/>
            </w:tcBorders>
            <w:shd w:val="clear" w:color="auto" w:fill="auto"/>
            <w:noWrap/>
            <w:hideMark/>
          </w:tcPr>
          <w:p w:rsidR="00FE7EF0" w:rsidRPr="00494675" w:rsidRDefault="00FE7EF0" w:rsidP="00FE7EF0">
            <w:pPr>
              <w:rPr>
                <w:sz w:val="24"/>
                <w:szCs w:val="24"/>
              </w:rPr>
            </w:pPr>
            <w:r w:rsidRPr="00494675">
              <w:rPr>
                <w:sz w:val="24"/>
                <w:szCs w:val="24"/>
              </w:rPr>
              <w:t>FICA</w:t>
            </w:r>
          </w:p>
        </w:tc>
        <w:tc>
          <w:tcPr>
            <w:tcW w:w="316" w:type="dxa"/>
            <w:tcBorders>
              <w:top w:val="nil"/>
              <w:left w:val="nil"/>
              <w:bottom w:val="nil"/>
              <w:right w:val="nil"/>
            </w:tcBorders>
            <w:shd w:val="clear" w:color="auto" w:fill="auto"/>
            <w:noWrap/>
            <w:hideMark/>
          </w:tcPr>
          <w:p w:rsidR="00FE7EF0" w:rsidRPr="00494675" w:rsidRDefault="00FE7EF0" w:rsidP="00FE7EF0">
            <w:pPr>
              <w:rPr>
                <w:sz w:val="24"/>
                <w:szCs w:val="24"/>
              </w:rPr>
            </w:pPr>
          </w:p>
        </w:tc>
        <w:tc>
          <w:tcPr>
            <w:tcW w:w="1416" w:type="dxa"/>
            <w:tcBorders>
              <w:top w:val="nil"/>
              <w:left w:val="nil"/>
              <w:bottom w:val="nil"/>
              <w:right w:val="nil"/>
            </w:tcBorders>
            <w:shd w:val="clear" w:color="auto" w:fill="auto"/>
            <w:noWrap/>
            <w:hideMark/>
          </w:tcPr>
          <w:p w:rsidR="00FE7EF0" w:rsidRPr="00494675" w:rsidRDefault="002F3E7F" w:rsidP="00494675">
            <w:pPr>
              <w:jc w:val="right"/>
              <w:rPr>
                <w:sz w:val="24"/>
                <w:szCs w:val="24"/>
              </w:rPr>
            </w:pPr>
            <w:r w:rsidRPr="00494675">
              <w:rPr>
                <w:sz w:val="24"/>
                <w:szCs w:val="24"/>
              </w:rPr>
              <w:t>5</w:t>
            </w:r>
            <w:r w:rsidR="00494675" w:rsidRPr="00494675">
              <w:rPr>
                <w:sz w:val="24"/>
                <w:szCs w:val="24"/>
              </w:rPr>
              <w:t>47</w:t>
            </w:r>
            <w:r w:rsidRPr="00494675">
              <w:rPr>
                <w:sz w:val="24"/>
                <w:szCs w:val="24"/>
              </w:rPr>
              <w:t>,</w:t>
            </w:r>
            <w:r w:rsidR="00494675" w:rsidRPr="00494675">
              <w:rPr>
                <w:sz w:val="24"/>
                <w:szCs w:val="24"/>
              </w:rPr>
              <w:t>498</w:t>
            </w:r>
          </w:p>
        </w:tc>
        <w:tc>
          <w:tcPr>
            <w:tcW w:w="240" w:type="dxa"/>
            <w:tcBorders>
              <w:top w:val="nil"/>
              <w:left w:val="nil"/>
              <w:bottom w:val="nil"/>
              <w:right w:val="nil"/>
            </w:tcBorders>
            <w:shd w:val="clear" w:color="auto" w:fill="auto"/>
            <w:noWrap/>
            <w:hideMark/>
          </w:tcPr>
          <w:p w:rsidR="00FE7EF0" w:rsidRPr="006828AB" w:rsidRDefault="00FE7EF0" w:rsidP="00FE7EF0">
            <w:pPr>
              <w:rPr>
                <w:sz w:val="24"/>
                <w:szCs w:val="24"/>
                <w:highlight w:val="yellow"/>
              </w:rPr>
            </w:pPr>
          </w:p>
        </w:tc>
        <w:tc>
          <w:tcPr>
            <w:tcW w:w="1892" w:type="dxa"/>
            <w:tcBorders>
              <w:top w:val="nil"/>
              <w:left w:val="nil"/>
              <w:bottom w:val="nil"/>
              <w:right w:val="nil"/>
            </w:tcBorders>
            <w:shd w:val="clear" w:color="auto" w:fill="auto"/>
            <w:noWrap/>
            <w:hideMark/>
          </w:tcPr>
          <w:p w:rsidR="00FE7EF0" w:rsidRPr="00494675" w:rsidRDefault="002F0854" w:rsidP="00494675">
            <w:pPr>
              <w:jc w:val="right"/>
              <w:rPr>
                <w:sz w:val="24"/>
                <w:szCs w:val="24"/>
              </w:rPr>
            </w:pPr>
            <w:r w:rsidRPr="00494675">
              <w:rPr>
                <w:sz w:val="24"/>
                <w:szCs w:val="24"/>
              </w:rPr>
              <w:t>5</w:t>
            </w:r>
            <w:r w:rsidR="00494675" w:rsidRPr="00494675">
              <w:rPr>
                <w:sz w:val="24"/>
                <w:szCs w:val="24"/>
              </w:rPr>
              <w:t>52</w:t>
            </w:r>
            <w:r w:rsidR="004F7CFB" w:rsidRPr="00494675">
              <w:rPr>
                <w:sz w:val="24"/>
                <w:szCs w:val="24"/>
              </w:rPr>
              <w:t>,</w:t>
            </w:r>
            <w:r w:rsidR="00494675" w:rsidRPr="00494675">
              <w:rPr>
                <w:sz w:val="24"/>
                <w:szCs w:val="24"/>
              </w:rPr>
              <w:t>481</w:t>
            </w:r>
          </w:p>
        </w:tc>
        <w:tc>
          <w:tcPr>
            <w:tcW w:w="268" w:type="dxa"/>
            <w:tcBorders>
              <w:top w:val="nil"/>
              <w:left w:val="nil"/>
              <w:bottom w:val="nil"/>
              <w:right w:val="nil"/>
            </w:tcBorders>
          </w:tcPr>
          <w:p w:rsidR="00FE7EF0" w:rsidRPr="006828AB" w:rsidRDefault="00FE7EF0" w:rsidP="00FE7EF0">
            <w:pPr>
              <w:rPr>
                <w:sz w:val="24"/>
                <w:szCs w:val="24"/>
                <w:highlight w:val="yellow"/>
              </w:rPr>
            </w:pPr>
          </w:p>
        </w:tc>
        <w:tc>
          <w:tcPr>
            <w:tcW w:w="1620" w:type="dxa"/>
            <w:tcBorders>
              <w:top w:val="nil"/>
              <w:left w:val="nil"/>
              <w:bottom w:val="nil"/>
              <w:right w:val="nil"/>
            </w:tcBorders>
          </w:tcPr>
          <w:p w:rsidR="00FE7EF0" w:rsidRPr="00D51277" w:rsidRDefault="00D51277" w:rsidP="00D51277">
            <w:pPr>
              <w:jc w:val="right"/>
              <w:rPr>
                <w:sz w:val="24"/>
                <w:szCs w:val="24"/>
              </w:rPr>
            </w:pPr>
            <w:r w:rsidRPr="00D51277">
              <w:rPr>
                <w:sz w:val="24"/>
                <w:szCs w:val="24"/>
              </w:rPr>
              <w:t>509</w:t>
            </w:r>
            <w:r w:rsidR="00933638" w:rsidRPr="00D51277">
              <w:rPr>
                <w:sz w:val="24"/>
                <w:szCs w:val="24"/>
              </w:rPr>
              <w:t>,</w:t>
            </w:r>
            <w:r w:rsidRPr="00D51277">
              <w:rPr>
                <w:sz w:val="24"/>
                <w:szCs w:val="24"/>
              </w:rPr>
              <w:t>942</w:t>
            </w:r>
          </w:p>
        </w:tc>
      </w:tr>
      <w:tr w:rsidR="00494675" w:rsidRPr="006828AB" w:rsidTr="004F7CFB">
        <w:trPr>
          <w:trHeight w:val="317"/>
          <w:jc w:val="center"/>
        </w:trPr>
        <w:tc>
          <w:tcPr>
            <w:tcW w:w="2078" w:type="dxa"/>
            <w:tcBorders>
              <w:top w:val="nil"/>
              <w:left w:val="nil"/>
              <w:bottom w:val="nil"/>
              <w:right w:val="nil"/>
            </w:tcBorders>
            <w:shd w:val="clear" w:color="auto" w:fill="auto"/>
            <w:noWrap/>
            <w:hideMark/>
          </w:tcPr>
          <w:p w:rsidR="00FE7EF0" w:rsidRPr="00494675" w:rsidRDefault="00FE7EF0" w:rsidP="00FE7EF0">
            <w:pPr>
              <w:rPr>
                <w:sz w:val="24"/>
                <w:szCs w:val="24"/>
              </w:rPr>
            </w:pPr>
            <w:r w:rsidRPr="00494675">
              <w:rPr>
                <w:sz w:val="24"/>
                <w:szCs w:val="24"/>
              </w:rPr>
              <w:t>Police Pension</w:t>
            </w:r>
          </w:p>
        </w:tc>
        <w:tc>
          <w:tcPr>
            <w:tcW w:w="316" w:type="dxa"/>
            <w:tcBorders>
              <w:top w:val="nil"/>
              <w:left w:val="nil"/>
              <w:bottom w:val="nil"/>
              <w:right w:val="nil"/>
            </w:tcBorders>
            <w:shd w:val="clear" w:color="auto" w:fill="auto"/>
            <w:noWrap/>
            <w:hideMark/>
          </w:tcPr>
          <w:p w:rsidR="00FE7EF0" w:rsidRPr="00494675" w:rsidRDefault="00FE7EF0" w:rsidP="00FE7EF0">
            <w:pPr>
              <w:rPr>
                <w:sz w:val="24"/>
                <w:szCs w:val="24"/>
              </w:rPr>
            </w:pPr>
          </w:p>
        </w:tc>
        <w:tc>
          <w:tcPr>
            <w:tcW w:w="1416" w:type="dxa"/>
            <w:tcBorders>
              <w:top w:val="nil"/>
              <w:left w:val="nil"/>
              <w:bottom w:val="nil"/>
              <w:right w:val="nil"/>
            </w:tcBorders>
            <w:shd w:val="clear" w:color="auto" w:fill="auto"/>
            <w:noWrap/>
            <w:hideMark/>
          </w:tcPr>
          <w:p w:rsidR="00FE7EF0" w:rsidRPr="00494675" w:rsidRDefault="00687AE0" w:rsidP="00494675">
            <w:pPr>
              <w:jc w:val="right"/>
              <w:rPr>
                <w:sz w:val="24"/>
                <w:szCs w:val="24"/>
              </w:rPr>
            </w:pPr>
            <w:r w:rsidRPr="00494675">
              <w:rPr>
                <w:sz w:val="24"/>
                <w:szCs w:val="24"/>
              </w:rPr>
              <w:t>2</w:t>
            </w:r>
            <w:r w:rsidR="00FE7EF0" w:rsidRPr="00494675">
              <w:rPr>
                <w:sz w:val="24"/>
                <w:szCs w:val="24"/>
              </w:rPr>
              <w:t>,</w:t>
            </w:r>
            <w:r w:rsidR="00494675" w:rsidRPr="00494675">
              <w:rPr>
                <w:sz w:val="24"/>
                <w:szCs w:val="24"/>
              </w:rPr>
              <w:t>754</w:t>
            </w:r>
            <w:r w:rsidR="002F3E7F" w:rsidRPr="00494675">
              <w:rPr>
                <w:sz w:val="24"/>
                <w:szCs w:val="24"/>
              </w:rPr>
              <w:t>,</w:t>
            </w:r>
            <w:r w:rsidR="00494675" w:rsidRPr="00494675">
              <w:rPr>
                <w:sz w:val="24"/>
                <w:szCs w:val="24"/>
              </w:rPr>
              <w:t>378</w:t>
            </w:r>
          </w:p>
        </w:tc>
        <w:tc>
          <w:tcPr>
            <w:tcW w:w="240" w:type="dxa"/>
            <w:tcBorders>
              <w:top w:val="nil"/>
              <w:left w:val="nil"/>
              <w:bottom w:val="nil"/>
              <w:right w:val="nil"/>
            </w:tcBorders>
            <w:shd w:val="clear" w:color="auto" w:fill="auto"/>
            <w:noWrap/>
            <w:hideMark/>
          </w:tcPr>
          <w:p w:rsidR="00FE7EF0" w:rsidRPr="006828AB" w:rsidRDefault="00FE7EF0" w:rsidP="00FE7EF0">
            <w:pPr>
              <w:rPr>
                <w:sz w:val="24"/>
                <w:szCs w:val="24"/>
                <w:highlight w:val="yellow"/>
              </w:rPr>
            </w:pPr>
          </w:p>
        </w:tc>
        <w:tc>
          <w:tcPr>
            <w:tcW w:w="1892" w:type="dxa"/>
            <w:tcBorders>
              <w:top w:val="nil"/>
              <w:left w:val="nil"/>
              <w:bottom w:val="nil"/>
              <w:right w:val="nil"/>
            </w:tcBorders>
            <w:shd w:val="clear" w:color="auto" w:fill="auto"/>
            <w:noWrap/>
            <w:hideMark/>
          </w:tcPr>
          <w:p w:rsidR="00FE7EF0" w:rsidRPr="00494675" w:rsidRDefault="002F0854" w:rsidP="00494675">
            <w:pPr>
              <w:jc w:val="right"/>
              <w:rPr>
                <w:sz w:val="24"/>
                <w:szCs w:val="24"/>
              </w:rPr>
            </w:pPr>
            <w:r w:rsidRPr="00494675">
              <w:rPr>
                <w:sz w:val="24"/>
                <w:szCs w:val="24"/>
              </w:rPr>
              <w:t>2</w:t>
            </w:r>
            <w:r w:rsidR="00FE7EF0" w:rsidRPr="00494675">
              <w:rPr>
                <w:sz w:val="24"/>
                <w:szCs w:val="24"/>
              </w:rPr>
              <w:t>,</w:t>
            </w:r>
            <w:r w:rsidR="00494675" w:rsidRPr="00494675">
              <w:rPr>
                <w:sz w:val="24"/>
                <w:szCs w:val="24"/>
              </w:rPr>
              <w:t>782</w:t>
            </w:r>
            <w:r w:rsidR="006A0C58" w:rsidRPr="00494675">
              <w:rPr>
                <w:sz w:val="24"/>
                <w:szCs w:val="24"/>
              </w:rPr>
              <w:t>,</w:t>
            </w:r>
            <w:r w:rsidR="00494675" w:rsidRPr="00494675">
              <w:rPr>
                <w:sz w:val="24"/>
                <w:szCs w:val="24"/>
              </w:rPr>
              <w:t>272</w:t>
            </w:r>
          </w:p>
        </w:tc>
        <w:tc>
          <w:tcPr>
            <w:tcW w:w="268" w:type="dxa"/>
            <w:tcBorders>
              <w:top w:val="nil"/>
              <w:left w:val="nil"/>
              <w:bottom w:val="nil"/>
              <w:right w:val="nil"/>
            </w:tcBorders>
          </w:tcPr>
          <w:p w:rsidR="00FE7EF0" w:rsidRPr="006828AB" w:rsidRDefault="00FE7EF0" w:rsidP="00FE7EF0">
            <w:pPr>
              <w:rPr>
                <w:sz w:val="24"/>
                <w:szCs w:val="24"/>
                <w:highlight w:val="yellow"/>
              </w:rPr>
            </w:pPr>
          </w:p>
        </w:tc>
        <w:tc>
          <w:tcPr>
            <w:tcW w:w="1620" w:type="dxa"/>
            <w:tcBorders>
              <w:top w:val="nil"/>
              <w:left w:val="nil"/>
              <w:bottom w:val="nil"/>
              <w:right w:val="nil"/>
            </w:tcBorders>
          </w:tcPr>
          <w:p w:rsidR="00FE7EF0" w:rsidRPr="00D51277" w:rsidRDefault="00933638" w:rsidP="00D51277">
            <w:pPr>
              <w:jc w:val="right"/>
              <w:rPr>
                <w:sz w:val="24"/>
                <w:szCs w:val="24"/>
              </w:rPr>
            </w:pPr>
            <w:r w:rsidRPr="00D51277">
              <w:rPr>
                <w:sz w:val="24"/>
                <w:szCs w:val="24"/>
              </w:rPr>
              <w:t>2,</w:t>
            </w:r>
            <w:r w:rsidR="00D51277" w:rsidRPr="00D51277">
              <w:rPr>
                <w:sz w:val="24"/>
                <w:szCs w:val="24"/>
              </w:rPr>
              <w:t>625</w:t>
            </w:r>
            <w:r w:rsidRPr="00D51277">
              <w:rPr>
                <w:sz w:val="24"/>
                <w:szCs w:val="24"/>
              </w:rPr>
              <w:t>,</w:t>
            </w:r>
            <w:r w:rsidR="00D51277" w:rsidRPr="00D51277">
              <w:rPr>
                <w:sz w:val="24"/>
                <w:szCs w:val="24"/>
              </w:rPr>
              <w:t>116</w:t>
            </w:r>
          </w:p>
        </w:tc>
      </w:tr>
      <w:tr w:rsidR="00494675" w:rsidRPr="006828AB" w:rsidTr="004F7CFB">
        <w:trPr>
          <w:trHeight w:val="317"/>
          <w:jc w:val="center"/>
        </w:trPr>
        <w:tc>
          <w:tcPr>
            <w:tcW w:w="2078" w:type="dxa"/>
            <w:tcBorders>
              <w:top w:val="nil"/>
              <w:left w:val="nil"/>
              <w:bottom w:val="nil"/>
              <w:right w:val="nil"/>
            </w:tcBorders>
            <w:shd w:val="clear" w:color="auto" w:fill="auto"/>
            <w:noWrap/>
            <w:hideMark/>
          </w:tcPr>
          <w:p w:rsidR="00FE7EF0" w:rsidRPr="00494675" w:rsidRDefault="00FE7EF0" w:rsidP="00FE7EF0">
            <w:pPr>
              <w:rPr>
                <w:sz w:val="24"/>
                <w:szCs w:val="24"/>
              </w:rPr>
            </w:pPr>
            <w:r w:rsidRPr="00494675">
              <w:rPr>
                <w:sz w:val="24"/>
                <w:szCs w:val="24"/>
              </w:rPr>
              <w:t>Fire Pension</w:t>
            </w:r>
          </w:p>
        </w:tc>
        <w:tc>
          <w:tcPr>
            <w:tcW w:w="316" w:type="dxa"/>
            <w:tcBorders>
              <w:top w:val="nil"/>
              <w:left w:val="nil"/>
              <w:bottom w:val="nil"/>
              <w:right w:val="nil"/>
            </w:tcBorders>
            <w:shd w:val="clear" w:color="auto" w:fill="auto"/>
            <w:noWrap/>
            <w:hideMark/>
          </w:tcPr>
          <w:p w:rsidR="00FE7EF0" w:rsidRPr="00494675" w:rsidRDefault="00FE7EF0" w:rsidP="00FE7EF0">
            <w:pPr>
              <w:rPr>
                <w:sz w:val="24"/>
                <w:szCs w:val="24"/>
              </w:rPr>
            </w:pPr>
          </w:p>
        </w:tc>
        <w:tc>
          <w:tcPr>
            <w:tcW w:w="1416" w:type="dxa"/>
            <w:tcBorders>
              <w:top w:val="nil"/>
              <w:left w:val="nil"/>
              <w:bottom w:val="nil"/>
              <w:right w:val="nil"/>
            </w:tcBorders>
            <w:shd w:val="clear" w:color="auto" w:fill="auto"/>
            <w:noWrap/>
            <w:hideMark/>
          </w:tcPr>
          <w:p w:rsidR="00FE7EF0" w:rsidRPr="00494675" w:rsidRDefault="00531C36" w:rsidP="00494675">
            <w:pPr>
              <w:jc w:val="right"/>
              <w:rPr>
                <w:sz w:val="24"/>
                <w:szCs w:val="24"/>
              </w:rPr>
            </w:pPr>
            <w:r w:rsidRPr="00494675">
              <w:rPr>
                <w:sz w:val="24"/>
                <w:szCs w:val="24"/>
              </w:rPr>
              <w:t>1,</w:t>
            </w:r>
            <w:r w:rsidR="00494675" w:rsidRPr="00494675">
              <w:rPr>
                <w:sz w:val="24"/>
                <w:szCs w:val="24"/>
              </w:rPr>
              <w:t>630</w:t>
            </w:r>
            <w:r w:rsidR="002F3E7F" w:rsidRPr="00494675">
              <w:rPr>
                <w:sz w:val="24"/>
                <w:szCs w:val="24"/>
              </w:rPr>
              <w:t>,</w:t>
            </w:r>
            <w:r w:rsidR="00494675" w:rsidRPr="00494675">
              <w:rPr>
                <w:sz w:val="24"/>
                <w:szCs w:val="24"/>
              </w:rPr>
              <w:t>955</w:t>
            </w:r>
          </w:p>
        </w:tc>
        <w:tc>
          <w:tcPr>
            <w:tcW w:w="240" w:type="dxa"/>
            <w:tcBorders>
              <w:top w:val="nil"/>
              <w:left w:val="nil"/>
              <w:bottom w:val="nil"/>
              <w:right w:val="nil"/>
            </w:tcBorders>
            <w:shd w:val="clear" w:color="auto" w:fill="auto"/>
            <w:noWrap/>
            <w:hideMark/>
          </w:tcPr>
          <w:p w:rsidR="00FE7EF0" w:rsidRPr="006828AB" w:rsidRDefault="00FE7EF0" w:rsidP="00FE7EF0">
            <w:pPr>
              <w:rPr>
                <w:sz w:val="24"/>
                <w:szCs w:val="24"/>
                <w:highlight w:val="yellow"/>
              </w:rPr>
            </w:pPr>
          </w:p>
        </w:tc>
        <w:tc>
          <w:tcPr>
            <w:tcW w:w="1892" w:type="dxa"/>
            <w:tcBorders>
              <w:top w:val="nil"/>
              <w:left w:val="nil"/>
              <w:bottom w:val="nil"/>
              <w:right w:val="nil"/>
            </w:tcBorders>
            <w:shd w:val="clear" w:color="auto" w:fill="auto"/>
            <w:noWrap/>
            <w:hideMark/>
          </w:tcPr>
          <w:p w:rsidR="00FE7EF0" w:rsidRPr="00494675" w:rsidRDefault="002E164F" w:rsidP="00494675">
            <w:pPr>
              <w:jc w:val="right"/>
              <w:rPr>
                <w:sz w:val="24"/>
                <w:szCs w:val="24"/>
              </w:rPr>
            </w:pPr>
            <w:r w:rsidRPr="00494675">
              <w:rPr>
                <w:sz w:val="24"/>
                <w:szCs w:val="24"/>
              </w:rPr>
              <w:t>1,</w:t>
            </w:r>
            <w:r w:rsidR="00494675" w:rsidRPr="00494675">
              <w:rPr>
                <w:sz w:val="24"/>
                <w:szCs w:val="24"/>
              </w:rPr>
              <w:t>678</w:t>
            </w:r>
            <w:r w:rsidR="006A0C58" w:rsidRPr="00494675">
              <w:rPr>
                <w:sz w:val="24"/>
                <w:szCs w:val="24"/>
              </w:rPr>
              <w:t>,</w:t>
            </w:r>
            <w:r w:rsidR="00494675" w:rsidRPr="00494675">
              <w:rPr>
                <w:sz w:val="24"/>
                <w:szCs w:val="24"/>
              </w:rPr>
              <w:t>384</w:t>
            </w:r>
          </w:p>
        </w:tc>
        <w:tc>
          <w:tcPr>
            <w:tcW w:w="268" w:type="dxa"/>
            <w:tcBorders>
              <w:top w:val="nil"/>
              <w:left w:val="nil"/>
              <w:bottom w:val="nil"/>
              <w:right w:val="nil"/>
            </w:tcBorders>
          </w:tcPr>
          <w:p w:rsidR="00FE7EF0" w:rsidRPr="006828AB" w:rsidRDefault="00FE7EF0" w:rsidP="00FE7EF0">
            <w:pPr>
              <w:rPr>
                <w:sz w:val="24"/>
                <w:szCs w:val="24"/>
                <w:highlight w:val="yellow"/>
              </w:rPr>
            </w:pPr>
          </w:p>
        </w:tc>
        <w:tc>
          <w:tcPr>
            <w:tcW w:w="1620" w:type="dxa"/>
            <w:tcBorders>
              <w:top w:val="nil"/>
              <w:left w:val="nil"/>
              <w:bottom w:val="nil"/>
              <w:right w:val="nil"/>
            </w:tcBorders>
          </w:tcPr>
          <w:p w:rsidR="00FE7EF0" w:rsidRPr="00D51277" w:rsidRDefault="002E164F" w:rsidP="00D51277">
            <w:pPr>
              <w:jc w:val="right"/>
              <w:rPr>
                <w:sz w:val="24"/>
                <w:szCs w:val="24"/>
              </w:rPr>
            </w:pPr>
            <w:r w:rsidRPr="00D51277">
              <w:rPr>
                <w:sz w:val="24"/>
                <w:szCs w:val="24"/>
              </w:rPr>
              <w:t>1,</w:t>
            </w:r>
            <w:r w:rsidR="00D51277" w:rsidRPr="00D51277">
              <w:rPr>
                <w:sz w:val="24"/>
                <w:szCs w:val="24"/>
              </w:rPr>
              <w:t>583</w:t>
            </w:r>
            <w:r w:rsidR="00933638" w:rsidRPr="00D51277">
              <w:rPr>
                <w:sz w:val="24"/>
                <w:szCs w:val="24"/>
              </w:rPr>
              <w:t>,</w:t>
            </w:r>
            <w:r w:rsidR="00D51277" w:rsidRPr="00D51277">
              <w:rPr>
                <w:sz w:val="24"/>
                <w:szCs w:val="24"/>
              </w:rPr>
              <w:t>581</w:t>
            </w:r>
          </w:p>
        </w:tc>
      </w:tr>
      <w:tr w:rsidR="00494675" w:rsidRPr="006828AB" w:rsidTr="004F7CFB">
        <w:trPr>
          <w:trHeight w:val="317"/>
          <w:jc w:val="center"/>
        </w:trPr>
        <w:tc>
          <w:tcPr>
            <w:tcW w:w="2078" w:type="dxa"/>
            <w:tcBorders>
              <w:top w:val="nil"/>
              <w:left w:val="nil"/>
              <w:bottom w:val="nil"/>
              <w:right w:val="nil"/>
            </w:tcBorders>
            <w:shd w:val="clear" w:color="auto" w:fill="auto"/>
            <w:noWrap/>
            <w:hideMark/>
          </w:tcPr>
          <w:p w:rsidR="00FE7EF0" w:rsidRPr="00494675" w:rsidRDefault="00FE7EF0" w:rsidP="00FE7EF0">
            <w:pPr>
              <w:rPr>
                <w:sz w:val="24"/>
                <w:szCs w:val="24"/>
              </w:rPr>
            </w:pPr>
            <w:r w:rsidRPr="00494675">
              <w:rPr>
                <w:sz w:val="24"/>
                <w:szCs w:val="24"/>
              </w:rPr>
              <w:t>Bonds</w:t>
            </w:r>
          </w:p>
        </w:tc>
        <w:tc>
          <w:tcPr>
            <w:tcW w:w="316" w:type="dxa"/>
            <w:tcBorders>
              <w:top w:val="nil"/>
              <w:left w:val="nil"/>
              <w:bottom w:val="nil"/>
              <w:right w:val="nil"/>
            </w:tcBorders>
            <w:shd w:val="clear" w:color="auto" w:fill="auto"/>
            <w:noWrap/>
            <w:hideMark/>
          </w:tcPr>
          <w:p w:rsidR="00FE7EF0" w:rsidRPr="00494675" w:rsidRDefault="00FE7EF0" w:rsidP="00FE7EF0">
            <w:pPr>
              <w:rPr>
                <w:sz w:val="24"/>
                <w:szCs w:val="24"/>
              </w:rPr>
            </w:pPr>
          </w:p>
        </w:tc>
        <w:tc>
          <w:tcPr>
            <w:tcW w:w="1416" w:type="dxa"/>
            <w:tcBorders>
              <w:top w:val="nil"/>
              <w:left w:val="nil"/>
              <w:bottom w:val="nil"/>
              <w:right w:val="nil"/>
            </w:tcBorders>
            <w:shd w:val="clear" w:color="auto" w:fill="auto"/>
            <w:noWrap/>
            <w:hideMark/>
          </w:tcPr>
          <w:p w:rsidR="00FE7EF0" w:rsidRPr="00494675" w:rsidRDefault="00687AE0" w:rsidP="00494675">
            <w:pPr>
              <w:jc w:val="right"/>
              <w:rPr>
                <w:sz w:val="24"/>
                <w:szCs w:val="24"/>
                <w:u w:val="single"/>
              </w:rPr>
            </w:pPr>
            <w:r w:rsidRPr="00494675">
              <w:rPr>
                <w:sz w:val="24"/>
                <w:szCs w:val="24"/>
                <w:u w:val="single"/>
              </w:rPr>
              <w:t>2</w:t>
            </w:r>
            <w:r w:rsidR="00494675" w:rsidRPr="00494675">
              <w:rPr>
                <w:sz w:val="24"/>
                <w:szCs w:val="24"/>
                <w:u w:val="single"/>
              </w:rPr>
              <w:t>60</w:t>
            </w:r>
            <w:r w:rsidR="00D7288E" w:rsidRPr="00494675">
              <w:rPr>
                <w:sz w:val="24"/>
                <w:szCs w:val="24"/>
                <w:u w:val="single"/>
              </w:rPr>
              <w:t>,</w:t>
            </w:r>
            <w:r w:rsidR="00494675" w:rsidRPr="00494675">
              <w:rPr>
                <w:sz w:val="24"/>
                <w:szCs w:val="24"/>
                <w:u w:val="single"/>
              </w:rPr>
              <w:t>686</w:t>
            </w:r>
          </w:p>
        </w:tc>
        <w:tc>
          <w:tcPr>
            <w:tcW w:w="240" w:type="dxa"/>
            <w:tcBorders>
              <w:top w:val="nil"/>
              <w:left w:val="nil"/>
              <w:bottom w:val="nil"/>
              <w:right w:val="nil"/>
            </w:tcBorders>
            <w:shd w:val="clear" w:color="auto" w:fill="auto"/>
            <w:noWrap/>
            <w:hideMark/>
          </w:tcPr>
          <w:p w:rsidR="00FE7EF0" w:rsidRPr="006828AB" w:rsidRDefault="00FE7EF0" w:rsidP="00FE7EF0">
            <w:pPr>
              <w:rPr>
                <w:sz w:val="24"/>
                <w:szCs w:val="24"/>
                <w:highlight w:val="yellow"/>
              </w:rPr>
            </w:pPr>
          </w:p>
        </w:tc>
        <w:tc>
          <w:tcPr>
            <w:tcW w:w="1892" w:type="dxa"/>
            <w:tcBorders>
              <w:top w:val="nil"/>
              <w:left w:val="nil"/>
              <w:bottom w:val="nil"/>
              <w:right w:val="nil"/>
            </w:tcBorders>
            <w:shd w:val="clear" w:color="auto" w:fill="auto"/>
            <w:noWrap/>
            <w:hideMark/>
          </w:tcPr>
          <w:p w:rsidR="00FE7EF0" w:rsidRPr="00494675" w:rsidRDefault="00622D7A" w:rsidP="0049376D">
            <w:pPr>
              <w:jc w:val="right"/>
              <w:rPr>
                <w:sz w:val="24"/>
                <w:szCs w:val="24"/>
                <w:u w:val="single"/>
              </w:rPr>
            </w:pPr>
            <w:r w:rsidRPr="00494675">
              <w:rPr>
                <w:sz w:val="24"/>
                <w:szCs w:val="24"/>
                <w:u w:val="single"/>
              </w:rPr>
              <w:t>2</w:t>
            </w:r>
            <w:r w:rsidR="0049376D" w:rsidRPr="00494675">
              <w:rPr>
                <w:sz w:val="24"/>
                <w:szCs w:val="24"/>
                <w:u w:val="single"/>
              </w:rPr>
              <w:t>50</w:t>
            </w:r>
            <w:r w:rsidR="002F0854" w:rsidRPr="00494675">
              <w:rPr>
                <w:sz w:val="24"/>
                <w:szCs w:val="24"/>
                <w:u w:val="single"/>
              </w:rPr>
              <w:t>,</w:t>
            </w:r>
            <w:r w:rsidR="0049376D" w:rsidRPr="00494675">
              <w:rPr>
                <w:sz w:val="24"/>
                <w:szCs w:val="24"/>
                <w:u w:val="single"/>
              </w:rPr>
              <w:t>000</w:t>
            </w:r>
          </w:p>
        </w:tc>
        <w:tc>
          <w:tcPr>
            <w:tcW w:w="268" w:type="dxa"/>
            <w:tcBorders>
              <w:top w:val="nil"/>
              <w:left w:val="nil"/>
              <w:bottom w:val="nil"/>
              <w:right w:val="nil"/>
            </w:tcBorders>
          </w:tcPr>
          <w:p w:rsidR="00FE7EF0" w:rsidRPr="006828AB" w:rsidRDefault="00FE7EF0" w:rsidP="00FE7EF0">
            <w:pPr>
              <w:rPr>
                <w:sz w:val="24"/>
                <w:szCs w:val="24"/>
                <w:highlight w:val="yellow"/>
              </w:rPr>
            </w:pPr>
          </w:p>
        </w:tc>
        <w:tc>
          <w:tcPr>
            <w:tcW w:w="1620" w:type="dxa"/>
            <w:tcBorders>
              <w:top w:val="nil"/>
              <w:left w:val="nil"/>
              <w:bottom w:val="nil"/>
              <w:right w:val="nil"/>
            </w:tcBorders>
          </w:tcPr>
          <w:p w:rsidR="00FE7EF0" w:rsidRPr="00E470B7" w:rsidRDefault="00337826" w:rsidP="00E470B7">
            <w:pPr>
              <w:jc w:val="right"/>
              <w:rPr>
                <w:sz w:val="24"/>
                <w:szCs w:val="24"/>
                <w:u w:val="single"/>
              </w:rPr>
            </w:pPr>
            <w:r w:rsidRPr="00E470B7">
              <w:rPr>
                <w:sz w:val="24"/>
                <w:szCs w:val="24"/>
                <w:u w:val="single"/>
              </w:rPr>
              <w:t>2</w:t>
            </w:r>
            <w:r w:rsidR="000374AA" w:rsidRPr="00E470B7">
              <w:rPr>
                <w:sz w:val="24"/>
                <w:szCs w:val="24"/>
                <w:u w:val="single"/>
              </w:rPr>
              <w:t>3</w:t>
            </w:r>
            <w:r w:rsidR="00E470B7" w:rsidRPr="00E470B7">
              <w:rPr>
                <w:sz w:val="24"/>
                <w:szCs w:val="24"/>
                <w:u w:val="single"/>
              </w:rPr>
              <w:t>3</w:t>
            </w:r>
            <w:r w:rsidR="000374AA" w:rsidRPr="00E470B7">
              <w:rPr>
                <w:sz w:val="24"/>
                <w:szCs w:val="24"/>
                <w:u w:val="single"/>
              </w:rPr>
              <w:t>,</w:t>
            </w:r>
            <w:r w:rsidR="00E470B7" w:rsidRPr="00E470B7">
              <w:rPr>
                <w:sz w:val="24"/>
                <w:szCs w:val="24"/>
                <w:u w:val="single"/>
              </w:rPr>
              <w:t>625</w:t>
            </w:r>
          </w:p>
        </w:tc>
      </w:tr>
      <w:tr w:rsidR="00494675" w:rsidRPr="006828AB" w:rsidTr="004F7CFB">
        <w:trPr>
          <w:trHeight w:val="317"/>
          <w:jc w:val="center"/>
        </w:trPr>
        <w:tc>
          <w:tcPr>
            <w:tcW w:w="2078" w:type="dxa"/>
            <w:tcBorders>
              <w:top w:val="nil"/>
              <w:left w:val="nil"/>
              <w:bottom w:val="nil"/>
              <w:right w:val="nil"/>
            </w:tcBorders>
            <w:shd w:val="clear" w:color="auto" w:fill="auto"/>
            <w:noWrap/>
            <w:hideMark/>
          </w:tcPr>
          <w:p w:rsidR="00FE7EF0" w:rsidRPr="00494675" w:rsidRDefault="00FE7EF0" w:rsidP="00FE7EF0">
            <w:pPr>
              <w:rPr>
                <w:b/>
                <w:bCs/>
                <w:sz w:val="24"/>
                <w:szCs w:val="24"/>
              </w:rPr>
            </w:pPr>
          </w:p>
        </w:tc>
        <w:tc>
          <w:tcPr>
            <w:tcW w:w="316" w:type="dxa"/>
            <w:tcBorders>
              <w:top w:val="nil"/>
              <w:left w:val="nil"/>
              <w:bottom w:val="nil"/>
              <w:right w:val="nil"/>
            </w:tcBorders>
            <w:shd w:val="clear" w:color="auto" w:fill="auto"/>
            <w:noWrap/>
            <w:hideMark/>
          </w:tcPr>
          <w:p w:rsidR="00FE7EF0" w:rsidRPr="00494675" w:rsidRDefault="00FE7EF0" w:rsidP="00FE7EF0">
            <w:pPr>
              <w:rPr>
                <w:b/>
                <w:bCs/>
                <w:sz w:val="24"/>
                <w:szCs w:val="24"/>
              </w:rPr>
            </w:pPr>
          </w:p>
        </w:tc>
        <w:tc>
          <w:tcPr>
            <w:tcW w:w="1416" w:type="dxa"/>
            <w:tcBorders>
              <w:top w:val="nil"/>
              <w:left w:val="nil"/>
              <w:bottom w:val="nil"/>
              <w:right w:val="nil"/>
            </w:tcBorders>
            <w:shd w:val="clear" w:color="auto" w:fill="auto"/>
            <w:noWrap/>
            <w:hideMark/>
          </w:tcPr>
          <w:p w:rsidR="00FE7EF0" w:rsidRPr="00494675" w:rsidRDefault="00FE7EF0" w:rsidP="00494675">
            <w:pPr>
              <w:jc w:val="right"/>
              <w:rPr>
                <w:b/>
                <w:bCs/>
                <w:sz w:val="24"/>
                <w:szCs w:val="24"/>
              </w:rPr>
            </w:pPr>
            <w:r w:rsidRPr="00494675">
              <w:rPr>
                <w:b/>
                <w:bCs/>
                <w:sz w:val="24"/>
                <w:szCs w:val="24"/>
              </w:rPr>
              <w:t>$1</w:t>
            </w:r>
            <w:r w:rsidR="0049376D" w:rsidRPr="00494675">
              <w:rPr>
                <w:b/>
                <w:bCs/>
                <w:sz w:val="24"/>
                <w:szCs w:val="24"/>
              </w:rPr>
              <w:t>8</w:t>
            </w:r>
            <w:r w:rsidRPr="00494675">
              <w:rPr>
                <w:b/>
                <w:bCs/>
                <w:sz w:val="24"/>
                <w:szCs w:val="24"/>
              </w:rPr>
              <w:t>,</w:t>
            </w:r>
            <w:r w:rsidR="00494675" w:rsidRPr="00494675">
              <w:rPr>
                <w:b/>
                <w:bCs/>
                <w:sz w:val="24"/>
                <w:szCs w:val="24"/>
              </w:rPr>
              <w:t>698</w:t>
            </w:r>
            <w:r w:rsidRPr="00494675">
              <w:rPr>
                <w:b/>
                <w:bCs/>
                <w:sz w:val="24"/>
                <w:szCs w:val="24"/>
              </w:rPr>
              <w:t>,</w:t>
            </w:r>
            <w:r w:rsidR="00494675" w:rsidRPr="00494675">
              <w:rPr>
                <w:b/>
                <w:bCs/>
                <w:sz w:val="24"/>
                <w:szCs w:val="24"/>
              </w:rPr>
              <w:t>432</w:t>
            </w:r>
            <w:r w:rsidRPr="00494675">
              <w:rPr>
                <w:b/>
                <w:bCs/>
                <w:sz w:val="24"/>
                <w:szCs w:val="24"/>
              </w:rPr>
              <w:t xml:space="preserve"> </w:t>
            </w:r>
          </w:p>
        </w:tc>
        <w:tc>
          <w:tcPr>
            <w:tcW w:w="240" w:type="dxa"/>
            <w:tcBorders>
              <w:top w:val="nil"/>
              <w:left w:val="nil"/>
              <w:bottom w:val="nil"/>
              <w:right w:val="nil"/>
            </w:tcBorders>
            <w:shd w:val="clear" w:color="auto" w:fill="auto"/>
            <w:noWrap/>
            <w:hideMark/>
          </w:tcPr>
          <w:p w:rsidR="00FE7EF0" w:rsidRPr="006828AB" w:rsidRDefault="00FE7EF0" w:rsidP="00FE7EF0">
            <w:pPr>
              <w:rPr>
                <w:b/>
                <w:bCs/>
                <w:sz w:val="24"/>
                <w:szCs w:val="24"/>
                <w:highlight w:val="yellow"/>
              </w:rPr>
            </w:pPr>
          </w:p>
        </w:tc>
        <w:tc>
          <w:tcPr>
            <w:tcW w:w="1892" w:type="dxa"/>
            <w:tcBorders>
              <w:top w:val="nil"/>
              <w:left w:val="nil"/>
              <w:bottom w:val="nil"/>
              <w:right w:val="nil"/>
            </w:tcBorders>
            <w:shd w:val="clear" w:color="auto" w:fill="auto"/>
            <w:noWrap/>
            <w:hideMark/>
          </w:tcPr>
          <w:p w:rsidR="00FE7EF0" w:rsidRPr="00494675" w:rsidRDefault="00FE7EF0" w:rsidP="00494675">
            <w:pPr>
              <w:jc w:val="right"/>
              <w:rPr>
                <w:b/>
                <w:bCs/>
                <w:sz w:val="24"/>
                <w:szCs w:val="24"/>
              </w:rPr>
            </w:pPr>
            <w:r w:rsidRPr="00494675">
              <w:rPr>
                <w:b/>
                <w:bCs/>
                <w:sz w:val="24"/>
                <w:szCs w:val="24"/>
              </w:rPr>
              <w:t>$</w:t>
            </w:r>
            <w:r w:rsidR="002E164F" w:rsidRPr="00494675">
              <w:rPr>
                <w:b/>
                <w:bCs/>
                <w:sz w:val="24"/>
                <w:szCs w:val="24"/>
              </w:rPr>
              <w:t>1</w:t>
            </w:r>
            <w:r w:rsidR="0049376D" w:rsidRPr="00494675">
              <w:rPr>
                <w:b/>
                <w:bCs/>
                <w:sz w:val="24"/>
                <w:szCs w:val="24"/>
              </w:rPr>
              <w:t>8</w:t>
            </w:r>
            <w:r w:rsidR="002E164F" w:rsidRPr="00494675">
              <w:rPr>
                <w:b/>
                <w:bCs/>
                <w:sz w:val="24"/>
                <w:szCs w:val="24"/>
              </w:rPr>
              <w:t>,</w:t>
            </w:r>
            <w:r w:rsidR="00494675" w:rsidRPr="00494675">
              <w:rPr>
                <w:b/>
                <w:bCs/>
                <w:sz w:val="24"/>
                <w:szCs w:val="24"/>
              </w:rPr>
              <w:t>69</w:t>
            </w:r>
            <w:r w:rsidR="0049376D" w:rsidRPr="00494675">
              <w:rPr>
                <w:b/>
                <w:bCs/>
                <w:sz w:val="24"/>
                <w:szCs w:val="24"/>
              </w:rPr>
              <w:t>8</w:t>
            </w:r>
            <w:r w:rsidRPr="00494675">
              <w:rPr>
                <w:b/>
                <w:bCs/>
                <w:sz w:val="24"/>
                <w:szCs w:val="24"/>
              </w:rPr>
              <w:t>,</w:t>
            </w:r>
            <w:r w:rsidR="00494675" w:rsidRPr="00494675">
              <w:rPr>
                <w:b/>
                <w:bCs/>
                <w:sz w:val="24"/>
                <w:szCs w:val="24"/>
              </w:rPr>
              <w:t>432</w:t>
            </w:r>
            <w:r w:rsidRPr="00494675">
              <w:rPr>
                <w:b/>
                <w:bCs/>
                <w:sz w:val="24"/>
                <w:szCs w:val="24"/>
              </w:rPr>
              <w:t xml:space="preserve"> </w:t>
            </w:r>
          </w:p>
        </w:tc>
        <w:tc>
          <w:tcPr>
            <w:tcW w:w="268" w:type="dxa"/>
            <w:tcBorders>
              <w:top w:val="nil"/>
              <w:left w:val="nil"/>
              <w:bottom w:val="nil"/>
              <w:right w:val="nil"/>
            </w:tcBorders>
          </w:tcPr>
          <w:p w:rsidR="00FE7EF0" w:rsidRPr="006828AB" w:rsidRDefault="00FE7EF0" w:rsidP="00FE7EF0">
            <w:pPr>
              <w:rPr>
                <w:b/>
                <w:bCs/>
                <w:sz w:val="24"/>
                <w:szCs w:val="24"/>
                <w:highlight w:val="yellow"/>
              </w:rPr>
            </w:pPr>
          </w:p>
        </w:tc>
        <w:tc>
          <w:tcPr>
            <w:tcW w:w="1620" w:type="dxa"/>
            <w:tcBorders>
              <w:top w:val="nil"/>
              <w:left w:val="nil"/>
              <w:bottom w:val="nil"/>
              <w:right w:val="nil"/>
            </w:tcBorders>
          </w:tcPr>
          <w:p w:rsidR="00FE7EF0" w:rsidRPr="00E470B7" w:rsidRDefault="00FE7EF0" w:rsidP="00E470B7">
            <w:pPr>
              <w:jc w:val="right"/>
              <w:rPr>
                <w:b/>
                <w:bCs/>
                <w:sz w:val="24"/>
                <w:szCs w:val="24"/>
              </w:rPr>
            </w:pPr>
            <w:r w:rsidRPr="00E470B7">
              <w:rPr>
                <w:b/>
                <w:bCs/>
                <w:sz w:val="24"/>
                <w:szCs w:val="24"/>
              </w:rPr>
              <w:t>$</w:t>
            </w:r>
            <w:r w:rsidR="003B63F6" w:rsidRPr="00E470B7">
              <w:rPr>
                <w:b/>
                <w:bCs/>
                <w:sz w:val="24"/>
                <w:szCs w:val="24"/>
              </w:rPr>
              <w:t>1</w:t>
            </w:r>
            <w:r w:rsidR="00E470B7" w:rsidRPr="00E470B7">
              <w:rPr>
                <w:b/>
                <w:bCs/>
                <w:sz w:val="24"/>
                <w:szCs w:val="24"/>
              </w:rPr>
              <w:t>7</w:t>
            </w:r>
            <w:r w:rsidRPr="00E470B7">
              <w:rPr>
                <w:b/>
                <w:bCs/>
                <w:sz w:val="24"/>
                <w:szCs w:val="24"/>
              </w:rPr>
              <w:t>,</w:t>
            </w:r>
            <w:r w:rsidR="00E470B7" w:rsidRPr="00E470B7">
              <w:rPr>
                <w:b/>
                <w:bCs/>
                <w:sz w:val="24"/>
                <w:szCs w:val="24"/>
              </w:rPr>
              <w:t>353</w:t>
            </w:r>
            <w:r w:rsidRPr="00E470B7">
              <w:rPr>
                <w:b/>
                <w:bCs/>
                <w:sz w:val="24"/>
                <w:szCs w:val="24"/>
              </w:rPr>
              <w:t>,</w:t>
            </w:r>
            <w:r w:rsidR="00E470B7" w:rsidRPr="00E470B7">
              <w:rPr>
                <w:b/>
                <w:bCs/>
                <w:sz w:val="24"/>
                <w:szCs w:val="24"/>
              </w:rPr>
              <w:t>095</w:t>
            </w:r>
            <w:r w:rsidRPr="00E470B7">
              <w:rPr>
                <w:b/>
                <w:bCs/>
                <w:sz w:val="24"/>
                <w:szCs w:val="24"/>
              </w:rPr>
              <w:t xml:space="preserve"> </w:t>
            </w:r>
          </w:p>
        </w:tc>
      </w:tr>
      <w:tr w:rsidR="00494675" w:rsidRPr="006828AB" w:rsidTr="004F7CFB">
        <w:trPr>
          <w:trHeight w:val="317"/>
          <w:jc w:val="center"/>
        </w:trPr>
        <w:tc>
          <w:tcPr>
            <w:tcW w:w="2078" w:type="dxa"/>
            <w:tcBorders>
              <w:top w:val="nil"/>
              <w:left w:val="nil"/>
              <w:bottom w:val="nil"/>
              <w:right w:val="nil"/>
            </w:tcBorders>
            <w:shd w:val="clear" w:color="auto" w:fill="auto"/>
            <w:noWrap/>
            <w:hideMark/>
          </w:tcPr>
          <w:p w:rsidR="00FE7EF0" w:rsidRPr="00494675" w:rsidRDefault="00FE7EF0" w:rsidP="00FE7EF0">
            <w:pPr>
              <w:rPr>
                <w:sz w:val="24"/>
                <w:szCs w:val="24"/>
              </w:rPr>
            </w:pPr>
            <w:r w:rsidRPr="00494675">
              <w:rPr>
                <w:sz w:val="24"/>
                <w:szCs w:val="24"/>
              </w:rPr>
              <w:t>Tax Levy Increase</w:t>
            </w:r>
          </w:p>
        </w:tc>
        <w:tc>
          <w:tcPr>
            <w:tcW w:w="316" w:type="dxa"/>
            <w:tcBorders>
              <w:top w:val="nil"/>
              <w:left w:val="nil"/>
              <w:bottom w:val="nil"/>
              <w:right w:val="nil"/>
            </w:tcBorders>
            <w:shd w:val="clear" w:color="auto" w:fill="auto"/>
            <w:noWrap/>
            <w:hideMark/>
          </w:tcPr>
          <w:p w:rsidR="00FE7EF0" w:rsidRPr="00494675" w:rsidRDefault="00FE7EF0" w:rsidP="00FE7EF0">
            <w:pPr>
              <w:rPr>
                <w:b/>
                <w:bCs/>
                <w:sz w:val="24"/>
                <w:szCs w:val="24"/>
              </w:rPr>
            </w:pPr>
          </w:p>
        </w:tc>
        <w:tc>
          <w:tcPr>
            <w:tcW w:w="1416" w:type="dxa"/>
            <w:tcBorders>
              <w:top w:val="nil"/>
              <w:left w:val="nil"/>
              <w:bottom w:val="nil"/>
              <w:right w:val="nil"/>
            </w:tcBorders>
            <w:shd w:val="clear" w:color="auto" w:fill="auto"/>
            <w:noWrap/>
            <w:hideMark/>
          </w:tcPr>
          <w:p w:rsidR="00FE7EF0" w:rsidRPr="00494675" w:rsidRDefault="00FE7EF0" w:rsidP="00FE7EF0">
            <w:pPr>
              <w:rPr>
                <w:b/>
                <w:bCs/>
                <w:sz w:val="24"/>
                <w:szCs w:val="24"/>
              </w:rPr>
            </w:pPr>
          </w:p>
        </w:tc>
        <w:tc>
          <w:tcPr>
            <w:tcW w:w="240" w:type="dxa"/>
            <w:tcBorders>
              <w:top w:val="nil"/>
              <w:left w:val="nil"/>
              <w:bottom w:val="nil"/>
              <w:right w:val="nil"/>
            </w:tcBorders>
            <w:shd w:val="clear" w:color="auto" w:fill="auto"/>
            <w:noWrap/>
            <w:hideMark/>
          </w:tcPr>
          <w:p w:rsidR="00FE7EF0" w:rsidRPr="006828AB" w:rsidRDefault="00FE7EF0" w:rsidP="00FE7EF0">
            <w:pPr>
              <w:jc w:val="center"/>
              <w:rPr>
                <w:sz w:val="24"/>
                <w:szCs w:val="24"/>
                <w:highlight w:val="yellow"/>
              </w:rPr>
            </w:pPr>
          </w:p>
        </w:tc>
        <w:tc>
          <w:tcPr>
            <w:tcW w:w="1892" w:type="dxa"/>
            <w:tcBorders>
              <w:top w:val="nil"/>
              <w:left w:val="nil"/>
              <w:bottom w:val="nil"/>
              <w:right w:val="nil"/>
            </w:tcBorders>
            <w:shd w:val="clear" w:color="auto" w:fill="auto"/>
            <w:noWrap/>
            <w:vAlign w:val="bottom"/>
            <w:hideMark/>
          </w:tcPr>
          <w:p w:rsidR="00FE7EF0" w:rsidRPr="00494675" w:rsidRDefault="0049376D" w:rsidP="00494675">
            <w:pPr>
              <w:jc w:val="center"/>
              <w:rPr>
                <w:sz w:val="24"/>
                <w:szCs w:val="24"/>
              </w:rPr>
            </w:pPr>
            <w:r w:rsidRPr="00494675">
              <w:rPr>
                <w:sz w:val="24"/>
                <w:szCs w:val="24"/>
              </w:rPr>
              <w:t>0.</w:t>
            </w:r>
            <w:r w:rsidR="00494675" w:rsidRPr="00494675">
              <w:rPr>
                <w:sz w:val="24"/>
                <w:szCs w:val="24"/>
              </w:rPr>
              <w:t>0</w:t>
            </w:r>
            <w:r w:rsidR="001A4FE2" w:rsidRPr="00494675">
              <w:rPr>
                <w:sz w:val="24"/>
                <w:szCs w:val="24"/>
              </w:rPr>
              <w:t>%</w:t>
            </w:r>
          </w:p>
        </w:tc>
        <w:tc>
          <w:tcPr>
            <w:tcW w:w="268" w:type="dxa"/>
            <w:tcBorders>
              <w:top w:val="nil"/>
              <w:left w:val="nil"/>
              <w:bottom w:val="nil"/>
              <w:right w:val="nil"/>
            </w:tcBorders>
          </w:tcPr>
          <w:p w:rsidR="00FE7EF0" w:rsidRPr="006828AB" w:rsidRDefault="00FE7EF0" w:rsidP="00FE7EF0">
            <w:pPr>
              <w:jc w:val="center"/>
              <w:rPr>
                <w:sz w:val="24"/>
                <w:szCs w:val="24"/>
                <w:highlight w:val="yellow"/>
              </w:rPr>
            </w:pPr>
          </w:p>
        </w:tc>
        <w:tc>
          <w:tcPr>
            <w:tcW w:w="1620" w:type="dxa"/>
            <w:tcBorders>
              <w:top w:val="nil"/>
              <w:left w:val="nil"/>
              <w:bottom w:val="nil"/>
              <w:right w:val="nil"/>
            </w:tcBorders>
            <w:vAlign w:val="bottom"/>
          </w:tcPr>
          <w:p w:rsidR="00FE7EF0" w:rsidRPr="00E470B7" w:rsidRDefault="00FE7EF0" w:rsidP="00FE7EF0">
            <w:pPr>
              <w:rPr>
                <w:sz w:val="24"/>
                <w:szCs w:val="24"/>
              </w:rPr>
            </w:pPr>
          </w:p>
        </w:tc>
      </w:tr>
    </w:tbl>
    <w:p w:rsidR="00523C50" w:rsidRPr="006828AB" w:rsidRDefault="00523C50" w:rsidP="00835958">
      <w:pPr>
        <w:rPr>
          <w:sz w:val="18"/>
          <w:highlight w:val="yellow"/>
        </w:rPr>
      </w:pPr>
    </w:p>
    <w:p w:rsidR="009C0BD7" w:rsidRPr="008B64FC" w:rsidRDefault="009C0BD7" w:rsidP="00AA7D91">
      <w:pPr>
        <w:rPr>
          <w:sz w:val="24"/>
        </w:rPr>
      </w:pPr>
    </w:p>
    <w:p w:rsidR="00EA1ED7" w:rsidRPr="00FD331B" w:rsidRDefault="001308C3" w:rsidP="00AA7D91">
      <w:pPr>
        <w:rPr>
          <w:sz w:val="24"/>
        </w:rPr>
      </w:pPr>
      <w:r w:rsidRPr="008B64FC">
        <w:rPr>
          <w:sz w:val="24"/>
        </w:rPr>
        <w:t xml:space="preserve">The </w:t>
      </w:r>
      <w:r w:rsidR="007A4A7D" w:rsidRPr="008B64FC">
        <w:rPr>
          <w:sz w:val="24"/>
        </w:rPr>
        <w:t>Village’s total</w:t>
      </w:r>
      <w:r w:rsidRPr="008B64FC">
        <w:rPr>
          <w:sz w:val="24"/>
        </w:rPr>
        <w:t xml:space="preserve"> levy</w:t>
      </w:r>
      <w:r w:rsidR="00D306F8" w:rsidRPr="008B64FC">
        <w:rPr>
          <w:sz w:val="24"/>
        </w:rPr>
        <w:t xml:space="preserve"> </w:t>
      </w:r>
      <w:r w:rsidR="00D969DC" w:rsidRPr="008B64FC">
        <w:rPr>
          <w:sz w:val="24"/>
        </w:rPr>
        <w:t>for 20</w:t>
      </w:r>
      <w:r w:rsidR="000374AA" w:rsidRPr="008B64FC">
        <w:rPr>
          <w:sz w:val="24"/>
        </w:rPr>
        <w:t>2</w:t>
      </w:r>
      <w:r w:rsidR="007A4A7D" w:rsidRPr="008B64FC">
        <w:rPr>
          <w:sz w:val="24"/>
        </w:rPr>
        <w:t>1</w:t>
      </w:r>
      <w:r w:rsidR="00D969DC" w:rsidRPr="008B64FC">
        <w:rPr>
          <w:sz w:val="24"/>
        </w:rPr>
        <w:t xml:space="preserve"> </w:t>
      </w:r>
      <w:r w:rsidR="007A4A7D" w:rsidRPr="008B64FC">
        <w:rPr>
          <w:sz w:val="24"/>
        </w:rPr>
        <w:t xml:space="preserve">did not </w:t>
      </w:r>
      <w:r w:rsidR="00A443A4" w:rsidRPr="008B64FC">
        <w:rPr>
          <w:sz w:val="24"/>
        </w:rPr>
        <w:t>in</w:t>
      </w:r>
      <w:r w:rsidR="00211ADE" w:rsidRPr="008B64FC">
        <w:rPr>
          <w:sz w:val="24"/>
        </w:rPr>
        <w:t>crease from the 20</w:t>
      </w:r>
      <w:r w:rsidR="007A4A7D" w:rsidRPr="008B64FC">
        <w:rPr>
          <w:sz w:val="24"/>
        </w:rPr>
        <w:t>20</w:t>
      </w:r>
      <w:r w:rsidR="00A443A4" w:rsidRPr="008B64FC">
        <w:rPr>
          <w:sz w:val="24"/>
        </w:rPr>
        <w:t xml:space="preserve"> extended levy.  </w:t>
      </w:r>
      <w:r w:rsidR="007A4A7D" w:rsidRPr="008B64FC">
        <w:rPr>
          <w:sz w:val="24"/>
        </w:rPr>
        <w:t>However, t</w:t>
      </w:r>
      <w:r w:rsidR="00A443A4" w:rsidRPr="008B64FC">
        <w:rPr>
          <w:sz w:val="24"/>
        </w:rPr>
        <w:t xml:space="preserve">he </w:t>
      </w:r>
      <w:r w:rsidR="007A4A7D" w:rsidRPr="008B64FC">
        <w:rPr>
          <w:sz w:val="24"/>
        </w:rPr>
        <w:t xml:space="preserve">levy amounts for </w:t>
      </w:r>
      <w:r w:rsidR="00211ADE" w:rsidRPr="008B64FC">
        <w:rPr>
          <w:sz w:val="24"/>
        </w:rPr>
        <w:t>Police and Fire pensions</w:t>
      </w:r>
      <w:r w:rsidR="007A4A7D" w:rsidRPr="008B64FC">
        <w:rPr>
          <w:sz w:val="24"/>
        </w:rPr>
        <w:t>, FICA and IMRF did increase</w:t>
      </w:r>
      <w:r w:rsidR="00211ADE" w:rsidRPr="008B64FC">
        <w:rPr>
          <w:sz w:val="24"/>
        </w:rPr>
        <w:t xml:space="preserve">.  </w:t>
      </w:r>
      <w:r w:rsidR="007A4A7D" w:rsidRPr="008B64FC">
        <w:rPr>
          <w:sz w:val="24"/>
        </w:rPr>
        <w:t xml:space="preserve">This means the General Corporate levy absorbed those increases by a corresponding decrease to keep the 2021 levy flat compared to the prior year’s extended levy.  </w:t>
      </w:r>
      <w:r w:rsidRPr="008B64FC">
        <w:rPr>
          <w:sz w:val="24"/>
        </w:rPr>
        <w:t>T</w:t>
      </w:r>
      <w:r w:rsidR="00F256E7" w:rsidRPr="008B64FC">
        <w:rPr>
          <w:sz w:val="24"/>
        </w:rPr>
        <w:t xml:space="preserve">he </w:t>
      </w:r>
      <w:r w:rsidR="00211ADE" w:rsidRPr="008B64FC">
        <w:rPr>
          <w:sz w:val="24"/>
        </w:rPr>
        <w:t xml:space="preserve">unassigned </w:t>
      </w:r>
      <w:r w:rsidR="007A4A7D" w:rsidRPr="008B64FC">
        <w:rPr>
          <w:sz w:val="24"/>
        </w:rPr>
        <w:t xml:space="preserve">General Fund </w:t>
      </w:r>
      <w:r w:rsidR="00F256E7" w:rsidRPr="008B64FC">
        <w:rPr>
          <w:sz w:val="24"/>
        </w:rPr>
        <w:t xml:space="preserve">fund balance </w:t>
      </w:r>
      <w:r w:rsidR="0097514B" w:rsidRPr="008B64FC">
        <w:rPr>
          <w:sz w:val="24"/>
        </w:rPr>
        <w:t>was</w:t>
      </w:r>
      <w:r w:rsidR="00F256E7" w:rsidRPr="008B64FC">
        <w:rPr>
          <w:sz w:val="24"/>
        </w:rPr>
        <w:t xml:space="preserve"> sufficient to absorb </w:t>
      </w:r>
      <w:r w:rsidR="00211ADE" w:rsidRPr="008B64FC">
        <w:rPr>
          <w:sz w:val="24"/>
        </w:rPr>
        <w:t xml:space="preserve">a </w:t>
      </w:r>
      <w:r w:rsidR="000374AA" w:rsidRPr="008B64FC">
        <w:rPr>
          <w:sz w:val="24"/>
        </w:rPr>
        <w:t>reduction</w:t>
      </w:r>
      <w:r w:rsidR="00211ADE" w:rsidRPr="008B64FC">
        <w:rPr>
          <w:sz w:val="24"/>
        </w:rPr>
        <w:t xml:space="preserve"> to the 20</w:t>
      </w:r>
      <w:r w:rsidR="000374AA" w:rsidRPr="008B64FC">
        <w:rPr>
          <w:sz w:val="24"/>
        </w:rPr>
        <w:t>2</w:t>
      </w:r>
      <w:r w:rsidR="007A4A7D" w:rsidRPr="008B64FC">
        <w:rPr>
          <w:sz w:val="24"/>
        </w:rPr>
        <w:t>1</w:t>
      </w:r>
      <w:r w:rsidR="00211ADE" w:rsidRPr="008B64FC">
        <w:rPr>
          <w:sz w:val="24"/>
        </w:rPr>
        <w:t xml:space="preserve"> levy of $</w:t>
      </w:r>
      <w:r w:rsidR="007A4A7D" w:rsidRPr="008B64FC">
        <w:rPr>
          <w:sz w:val="24"/>
        </w:rPr>
        <w:t>446</w:t>
      </w:r>
      <w:r w:rsidR="00211ADE" w:rsidRPr="008B64FC">
        <w:rPr>
          <w:sz w:val="24"/>
        </w:rPr>
        <w:t>,</w:t>
      </w:r>
      <w:r w:rsidR="007A4A7D" w:rsidRPr="008B64FC">
        <w:rPr>
          <w:sz w:val="24"/>
        </w:rPr>
        <w:t>661</w:t>
      </w:r>
      <w:r w:rsidR="0035064C" w:rsidRPr="008B64FC">
        <w:rPr>
          <w:sz w:val="24"/>
        </w:rPr>
        <w:t>.</w:t>
      </w:r>
      <w:r w:rsidR="00E61943" w:rsidRPr="008B64FC">
        <w:rPr>
          <w:sz w:val="24"/>
        </w:rPr>
        <w:t xml:space="preserve">  </w:t>
      </w:r>
      <w:r w:rsidR="00211ADE" w:rsidRPr="00FD331B">
        <w:rPr>
          <w:sz w:val="24"/>
        </w:rPr>
        <w:t>Collectively, the FICA and IMRF levies for 20</w:t>
      </w:r>
      <w:r w:rsidR="000374AA" w:rsidRPr="00FD331B">
        <w:rPr>
          <w:sz w:val="24"/>
        </w:rPr>
        <w:t>2</w:t>
      </w:r>
      <w:r w:rsidR="00FD331B" w:rsidRPr="00FD331B">
        <w:rPr>
          <w:sz w:val="24"/>
        </w:rPr>
        <w:t>1</w:t>
      </w:r>
      <w:r w:rsidR="00211ADE" w:rsidRPr="00FD331B">
        <w:rPr>
          <w:sz w:val="24"/>
        </w:rPr>
        <w:t xml:space="preserve"> </w:t>
      </w:r>
      <w:r w:rsidR="00FD331B" w:rsidRPr="00FD331B">
        <w:rPr>
          <w:sz w:val="24"/>
        </w:rPr>
        <w:t>increase</w:t>
      </w:r>
      <w:r w:rsidR="00A443A4" w:rsidRPr="00FD331B">
        <w:rPr>
          <w:sz w:val="24"/>
        </w:rPr>
        <w:t>d</w:t>
      </w:r>
      <w:r w:rsidR="00211ADE" w:rsidRPr="00FD331B">
        <w:rPr>
          <w:sz w:val="24"/>
        </w:rPr>
        <w:t xml:space="preserve"> </w:t>
      </w:r>
      <w:r w:rsidR="00FD331B" w:rsidRPr="00FD331B">
        <w:rPr>
          <w:sz w:val="24"/>
        </w:rPr>
        <w:t xml:space="preserve">only slightly </w:t>
      </w:r>
      <w:r w:rsidR="00A443A4" w:rsidRPr="00FD331B">
        <w:rPr>
          <w:sz w:val="24"/>
        </w:rPr>
        <w:t xml:space="preserve">from </w:t>
      </w:r>
      <w:r w:rsidR="00211ADE" w:rsidRPr="00FD331B">
        <w:rPr>
          <w:sz w:val="24"/>
        </w:rPr>
        <w:t>the 20</w:t>
      </w:r>
      <w:r w:rsidR="00FD331B" w:rsidRPr="00FD331B">
        <w:rPr>
          <w:sz w:val="24"/>
        </w:rPr>
        <w:t>20</w:t>
      </w:r>
      <w:r w:rsidR="00211ADE" w:rsidRPr="00FD331B">
        <w:rPr>
          <w:sz w:val="24"/>
        </w:rPr>
        <w:t xml:space="preserve"> extended levy.  </w:t>
      </w:r>
      <w:r w:rsidR="004706EF" w:rsidRPr="00FD331B">
        <w:rPr>
          <w:sz w:val="24"/>
        </w:rPr>
        <w:t>T</w:t>
      </w:r>
      <w:r w:rsidR="00E61943" w:rsidRPr="00FD331B">
        <w:rPr>
          <w:sz w:val="24"/>
        </w:rPr>
        <w:t xml:space="preserve">he IMRF </w:t>
      </w:r>
      <w:r w:rsidR="00FD331B" w:rsidRPr="00FD331B">
        <w:rPr>
          <w:sz w:val="24"/>
        </w:rPr>
        <w:t xml:space="preserve">employer </w:t>
      </w:r>
      <w:r w:rsidR="00E61943" w:rsidRPr="00FD331B">
        <w:rPr>
          <w:sz w:val="24"/>
        </w:rPr>
        <w:t xml:space="preserve">rate </w:t>
      </w:r>
      <w:r w:rsidR="00FD331B" w:rsidRPr="00FD331B">
        <w:rPr>
          <w:sz w:val="24"/>
        </w:rPr>
        <w:t>de</w:t>
      </w:r>
      <w:r w:rsidR="00E61943" w:rsidRPr="00FD331B">
        <w:rPr>
          <w:sz w:val="24"/>
        </w:rPr>
        <w:t xml:space="preserve">creased from </w:t>
      </w:r>
      <w:r w:rsidR="00FD331B" w:rsidRPr="00FD331B">
        <w:rPr>
          <w:sz w:val="24"/>
        </w:rPr>
        <w:t>1</w:t>
      </w:r>
      <w:r w:rsidR="00DA2524" w:rsidRPr="00FD331B">
        <w:rPr>
          <w:sz w:val="24"/>
        </w:rPr>
        <w:t xml:space="preserve">2.08% </w:t>
      </w:r>
      <w:r w:rsidR="00FD331B" w:rsidRPr="00FD331B">
        <w:rPr>
          <w:sz w:val="24"/>
        </w:rPr>
        <w:t xml:space="preserve">to 11.58% </w:t>
      </w:r>
      <w:r w:rsidR="00996083" w:rsidRPr="00FD331B">
        <w:rPr>
          <w:sz w:val="24"/>
        </w:rPr>
        <w:t>in 20</w:t>
      </w:r>
      <w:r w:rsidR="00DA2524" w:rsidRPr="00FD331B">
        <w:rPr>
          <w:sz w:val="24"/>
        </w:rPr>
        <w:t>2</w:t>
      </w:r>
      <w:r w:rsidR="00FD331B" w:rsidRPr="00FD331B">
        <w:rPr>
          <w:sz w:val="24"/>
        </w:rPr>
        <w:t>1 and decreased again in 2022</w:t>
      </w:r>
      <w:r w:rsidR="004706EF" w:rsidRPr="00FD331B">
        <w:rPr>
          <w:sz w:val="24"/>
        </w:rPr>
        <w:t xml:space="preserve"> to </w:t>
      </w:r>
      <w:r w:rsidR="00FD331B" w:rsidRPr="00FD331B">
        <w:rPr>
          <w:sz w:val="24"/>
        </w:rPr>
        <w:t>9.6</w:t>
      </w:r>
      <w:r w:rsidR="004706EF" w:rsidRPr="00FD331B">
        <w:rPr>
          <w:sz w:val="24"/>
        </w:rPr>
        <w:t>%</w:t>
      </w:r>
      <w:r w:rsidR="00E61943" w:rsidRPr="00FD331B">
        <w:rPr>
          <w:sz w:val="24"/>
        </w:rPr>
        <w:t xml:space="preserve">.  </w:t>
      </w:r>
      <w:r w:rsidR="00A443A4" w:rsidRPr="00FD331B">
        <w:rPr>
          <w:sz w:val="24"/>
        </w:rPr>
        <w:t>The Village has received notification from IMRF that the 202</w:t>
      </w:r>
      <w:r w:rsidR="00FD331B" w:rsidRPr="00FD331B">
        <w:rPr>
          <w:sz w:val="24"/>
        </w:rPr>
        <w:t>3</w:t>
      </w:r>
      <w:r w:rsidR="00A443A4" w:rsidRPr="00FD331B">
        <w:rPr>
          <w:sz w:val="24"/>
        </w:rPr>
        <w:t xml:space="preserve"> rate is planned to reduce to </w:t>
      </w:r>
      <w:r w:rsidR="00FD331B" w:rsidRPr="00FD331B">
        <w:rPr>
          <w:sz w:val="24"/>
        </w:rPr>
        <w:t>6.69</w:t>
      </w:r>
      <w:r w:rsidR="00A443A4" w:rsidRPr="00FD331B">
        <w:rPr>
          <w:sz w:val="24"/>
        </w:rPr>
        <w:t xml:space="preserve">%.  </w:t>
      </w:r>
      <w:r w:rsidRPr="00FD331B">
        <w:rPr>
          <w:sz w:val="24"/>
        </w:rPr>
        <w:t xml:space="preserve">The Board approved </w:t>
      </w:r>
      <w:r w:rsidR="00CA3471" w:rsidRPr="00FD331B">
        <w:rPr>
          <w:sz w:val="24"/>
        </w:rPr>
        <w:t xml:space="preserve">a levy amount for </w:t>
      </w:r>
      <w:r w:rsidRPr="00FD331B">
        <w:rPr>
          <w:sz w:val="24"/>
        </w:rPr>
        <w:t>the</w:t>
      </w:r>
      <w:r w:rsidR="00CA3471" w:rsidRPr="00FD331B">
        <w:rPr>
          <w:sz w:val="24"/>
        </w:rPr>
        <w:t xml:space="preserve"> </w:t>
      </w:r>
      <w:r w:rsidR="00CC1E62" w:rsidRPr="00FD331B">
        <w:rPr>
          <w:sz w:val="24"/>
        </w:rPr>
        <w:t xml:space="preserve">full </w:t>
      </w:r>
      <w:r w:rsidR="00CA3471" w:rsidRPr="00FD331B">
        <w:rPr>
          <w:sz w:val="24"/>
        </w:rPr>
        <w:t>actuarially recommended amount (ARC)</w:t>
      </w:r>
      <w:r w:rsidR="00CC1E62" w:rsidRPr="00FD331B">
        <w:rPr>
          <w:sz w:val="24"/>
        </w:rPr>
        <w:t xml:space="preserve"> for both public safety pension funds.</w:t>
      </w:r>
      <w:r w:rsidR="00CA3471" w:rsidRPr="00FD331B">
        <w:rPr>
          <w:sz w:val="24"/>
        </w:rPr>
        <w:t xml:space="preserve"> </w:t>
      </w:r>
      <w:r w:rsidR="00CC1E62" w:rsidRPr="00FD331B">
        <w:rPr>
          <w:sz w:val="24"/>
        </w:rPr>
        <w:t xml:space="preserve"> The increase for these two funds were the majority of the increase to the 202</w:t>
      </w:r>
      <w:r w:rsidR="00FD331B" w:rsidRPr="00FD331B">
        <w:rPr>
          <w:sz w:val="24"/>
        </w:rPr>
        <w:t>1</w:t>
      </w:r>
      <w:r w:rsidR="00CC1E62" w:rsidRPr="00FD331B">
        <w:rPr>
          <w:sz w:val="24"/>
        </w:rPr>
        <w:t xml:space="preserve"> tax levy and is a trend seen across the majority of the country – the rising costs of public safety pensions.</w:t>
      </w:r>
      <w:r w:rsidR="00CA3471" w:rsidRPr="00FD331B">
        <w:rPr>
          <w:sz w:val="24"/>
        </w:rPr>
        <w:t xml:space="preserve">  Consolidation of all public safety pension funds (ILCS Article 3 and Article 4) has be</w:t>
      </w:r>
      <w:r w:rsidR="00FD331B" w:rsidRPr="00FD331B">
        <w:rPr>
          <w:sz w:val="24"/>
        </w:rPr>
        <w:t>gun</w:t>
      </w:r>
      <w:r w:rsidR="00CA3471" w:rsidRPr="00FD331B">
        <w:rPr>
          <w:sz w:val="24"/>
        </w:rPr>
        <w:t xml:space="preserve"> and Village management staff expects to see improved investment returns in the near future that are expected to positively impact the Village’s annual tax levy – meaning the tax levy requirements should decrease</w:t>
      </w:r>
      <w:r w:rsidR="00CC1E62" w:rsidRPr="00FD331B">
        <w:rPr>
          <w:sz w:val="24"/>
        </w:rPr>
        <w:t>.</w:t>
      </w:r>
      <w:r w:rsidR="00CA3471" w:rsidRPr="00FD331B">
        <w:rPr>
          <w:sz w:val="24"/>
        </w:rPr>
        <w:t xml:space="preserve">  </w:t>
      </w:r>
      <w:r w:rsidR="00F256E7" w:rsidRPr="00FD331B">
        <w:rPr>
          <w:sz w:val="24"/>
        </w:rPr>
        <w:t>The Bond</w:t>
      </w:r>
      <w:r w:rsidR="00B00FBF" w:rsidRPr="00FD331B">
        <w:rPr>
          <w:sz w:val="24"/>
        </w:rPr>
        <w:t>s</w:t>
      </w:r>
      <w:r w:rsidR="00F256E7" w:rsidRPr="00FD331B">
        <w:rPr>
          <w:sz w:val="24"/>
        </w:rPr>
        <w:t xml:space="preserve"> levy </w:t>
      </w:r>
      <w:r w:rsidR="00B00FBF" w:rsidRPr="00FD331B">
        <w:rPr>
          <w:sz w:val="24"/>
        </w:rPr>
        <w:t xml:space="preserve">reflects only general obligation debt </w:t>
      </w:r>
      <w:r w:rsidR="00EA1ED7" w:rsidRPr="00FD331B">
        <w:rPr>
          <w:sz w:val="24"/>
        </w:rPr>
        <w:t xml:space="preserve">from the 2012B bonds.  The 2012B bonds will mature in </w:t>
      </w:r>
      <w:r w:rsidR="00CC1E62" w:rsidRPr="00FD331B">
        <w:rPr>
          <w:sz w:val="24"/>
        </w:rPr>
        <w:t>t</w:t>
      </w:r>
      <w:r w:rsidR="00FD331B" w:rsidRPr="00FD331B">
        <w:rPr>
          <w:sz w:val="24"/>
        </w:rPr>
        <w:t>wo</w:t>
      </w:r>
      <w:r w:rsidR="00EA1ED7" w:rsidRPr="00FD331B">
        <w:rPr>
          <w:sz w:val="24"/>
        </w:rPr>
        <w:t xml:space="preserve"> years and this will also have a positive impact on the annual levy.</w:t>
      </w:r>
      <w:r w:rsidR="000E0092" w:rsidRPr="00FD331B">
        <w:rPr>
          <w:sz w:val="24"/>
        </w:rPr>
        <w:t xml:space="preserve"> </w:t>
      </w:r>
      <w:r w:rsidR="00EA1ED7" w:rsidRPr="00FD331B">
        <w:rPr>
          <w:sz w:val="24"/>
        </w:rPr>
        <w:t xml:space="preserve"> </w:t>
      </w:r>
    </w:p>
    <w:p w:rsidR="00EA1ED7" w:rsidRPr="00FD331B" w:rsidRDefault="00EA1ED7" w:rsidP="00AA7D91">
      <w:pPr>
        <w:rPr>
          <w:sz w:val="24"/>
        </w:rPr>
      </w:pPr>
    </w:p>
    <w:p w:rsidR="00393DF9" w:rsidRPr="004F5465" w:rsidRDefault="00EA1ED7" w:rsidP="00AA7D91">
      <w:pPr>
        <w:rPr>
          <w:sz w:val="24"/>
        </w:rPr>
      </w:pPr>
      <w:r w:rsidRPr="007E35C9">
        <w:rPr>
          <w:sz w:val="24"/>
        </w:rPr>
        <w:t xml:space="preserve">Over the last ten tax levies for the Village, there </w:t>
      </w:r>
      <w:r w:rsidR="007E35C9" w:rsidRPr="007E35C9">
        <w:rPr>
          <w:sz w:val="24"/>
        </w:rPr>
        <w:t xml:space="preserve">has been enough </w:t>
      </w:r>
      <w:r w:rsidRPr="007E35C9">
        <w:rPr>
          <w:sz w:val="24"/>
        </w:rPr>
        <w:t>General Fund reserves to reduce the tax levy.</w:t>
      </w:r>
      <w:r w:rsidR="00C25767" w:rsidRPr="007E35C9">
        <w:rPr>
          <w:sz w:val="24"/>
        </w:rPr>
        <w:t xml:space="preserve"> </w:t>
      </w:r>
      <w:r w:rsidRPr="007E35C9">
        <w:rPr>
          <w:sz w:val="24"/>
        </w:rPr>
        <w:t xml:space="preserve"> The </w:t>
      </w:r>
      <w:r w:rsidR="007E35C9" w:rsidRPr="007E35C9">
        <w:rPr>
          <w:sz w:val="24"/>
        </w:rPr>
        <w:t xml:space="preserve">levy year and the amount of reserves used to reduce the levy are: </w:t>
      </w:r>
      <w:r w:rsidR="00C4769E" w:rsidRPr="007E35C9">
        <w:rPr>
          <w:sz w:val="24"/>
        </w:rPr>
        <w:t>$550,000</w:t>
      </w:r>
      <w:r w:rsidR="007E35C9" w:rsidRPr="007E35C9">
        <w:rPr>
          <w:sz w:val="24"/>
        </w:rPr>
        <w:t xml:space="preserve"> in 2012</w:t>
      </w:r>
      <w:r w:rsidR="00EB1D36" w:rsidRPr="007E35C9">
        <w:rPr>
          <w:sz w:val="24"/>
        </w:rPr>
        <w:t>;</w:t>
      </w:r>
      <w:r w:rsidR="00414AA3" w:rsidRPr="007E35C9">
        <w:rPr>
          <w:sz w:val="24"/>
        </w:rPr>
        <w:t xml:space="preserve"> </w:t>
      </w:r>
      <w:r w:rsidR="001308C3" w:rsidRPr="007E35C9">
        <w:rPr>
          <w:sz w:val="24"/>
        </w:rPr>
        <w:t>in 2013</w:t>
      </w:r>
      <w:r w:rsidR="00EB1D36" w:rsidRPr="007E35C9">
        <w:rPr>
          <w:sz w:val="24"/>
        </w:rPr>
        <w:t>,</w:t>
      </w:r>
      <w:r w:rsidR="001308C3" w:rsidRPr="007E35C9">
        <w:rPr>
          <w:sz w:val="24"/>
        </w:rPr>
        <w:t xml:space="preserve"> </w:t>
      </w:r>
      <w:r w:rsidR="00EB1D36" w:rsidRPr="007E35C9">
        <w:rPr>
          <w:sz w:val="24"/>
        </w:rPr>
        <w:t>$</w:t>
      </w:r>
      <w:r w:rsidR="001308C3" w:rsidRPr="007E35C9">
        <w:rPr>
          <w:sz w:val="24"/>
        </w:rPr>
        <w:t>715,317</w:t>
      </w:r>
      <w:r w:rsidR="00EB1D36" w:rsidRPr="007E35C9">
        <w:rPr>
          <w:sz w:val="24"/>
        </w:rPr>
        <w:t>;</w:t>
      </w:r>
      <w:r w:rsidR="001308C3" w:rsidRPr="007E35C9">
        <w:rPr>
          <w:sz w:val="24"/>
        </w:rPr>
        <w:t xml:space="preserve"> </w:t>
      </w:r>
      <w:r w:rsidR="00F97B74" w:rsidRPr="007E35C9">
        <w:rPr>
          <w:sz w:val="24"/>
        </w:rPr>
        <w:t>in 2014</w:t>
      </w:r>
      <w:r w:rsidR="00EB1D36" w:rsidRPr="007E35C9">
        <w:rPr>
          <w:sz w:val="24"/>
        </w:rPr>
        <w:t>,</w:t>
      </w:r>
      <w:r w:rsidR="00F97B74" w:rsidRPr="007E35C9">
        <w:rPr>
          <w:sz w:val="24"/>
        </w:rPr>
        <w:t xml:space="preserve"> $640,000</w:t>
      </w:r>
      <w:r w:rsidR="00EB1D36" w:rsidRPr="007E35C9">
        <w:rPr>
          <w:sz w:val="24"/>
        </w:rPr>
        <w:t>;</w:t>
      </w:r>
      <w:r w:rsidR="00C4769E" w:rsidRPr="007E35C9">
        <w:rPr>
          <w:sz w:val="24"/>
        </w:rPr>
        <w:t xml:space="preserve"> </w:t>
      </w:r>
      <w:r w:rsidR="00414AA3" w:rsidRPr="007E35C9">
        <w:rPr>
          <w:sz w:val="24"/>
        </w:rPr>
        <w:t>in 2015</w:t>
      </w:r>
      <w:r w:rsidR="00EB1D36" w:rsidRPr="007E35C9">
        <w:rPr>
          <w:sz w:val="24"/>
        </w:rPr>
        <w:t>,</w:t>
      </w:r>
      <w:r w:rsidR="00414AA3" w:rsidRPr="007E35C9">
        <w:rPr>
          <w:sz w:val="24"/>
        </w:rPr>
        <w:t xml:space="preserve"> $700,000</w:t>
      </w:r>
      <w:r w:rsidR="00EB1D36" w:rsidRPr="007E35C9">
        <w:rPr>
          <w:sz w:val="24"/>
        </w:rPr>
        <w:t>;</w:t>
      </w:r>
      <w:r w:rsidR="00C4769E" w:rsidRPr="007E35C9">
        <w:rPr>
          <w:sz w:val="24"/>
        </w:rPr>
        <w:t xml:space="preserve"> in 2016</w:t>
      </w:r>
      <w:r w:rsidR="00EB1D36" w:rsidRPr="007E35C9">
        <w:rPr>
          <w:sz w:val="24"/>
        </w:rPr>
        <w:t>,</w:t>
      </w:r>
      <w:r w:rsidR="00C4769E" w:rsidRPr="007E35C9">
        <w:rPr>
          <w:sz w:val="24"/>
        </w:rPr>
        <w:t xml:space="preserve"> $790,000</w:t>
      </w:r>
      <w:r w:rsidR="00EB1D36" w:rsidRPr="007E35C9">
        <w:rPr>
          <w:sz w:val="24"/>
        </w:rPr>
        <w:t>; in 2017, $383,000</w:t>
      </w:r>
      <w:r w:rsidR="00B00FBF" w:rsidRPr="007E35C9">
        <w:rPr>
          <w:sz w:val="24"/>
        </w:rPr>
        <w:t>; in 2018, $715,000</w:t>
      </w:r>
      <w:r w:rsidRPr="007E35C9">
        <w:rPr>
          <w:sz w:val="24"/>
        </w:rPr>
        <w:t>; in 2019, $592,171</w:t>
      </w:r>
      <w:r w:rsidR="00F82859" w:rsidRPr="007E35C9">
        <w:rPr>
          <w:sz w:val="24"/>
        </w:rPr>
        <w:t>; in 2020, $325,000</w:t>
      </w:r>
      <w:r w:rsidR="007E35C9" w:rsidRPr="007E35C9">
        <w:rPr>
          <w:sz w:val="24"/>
        </w:rPr>
        <w:t>; and, in 2021, $446,661</w:t>
      </w:r>
      <w:r w:rsidR="00F97B74" w:rsidRPr="007E35C9">
        <w:rPr>
          <w:sz w:val="24"/>
        </w:rPr>
        <w:t>.</w:t>
      </w:r>
      <w:r w:rsidR="00F256E7" w:rsidRPr="007E35C9">
        <w:rPr>
          <w:sz w:val="24"/>
        </w:rPr>
        <w:t xml:space="preserve">  </w:t>
      </w:r>
      <w:r w:rsidR="0006077B" w:rsidRPr="004F5465">
        <w:rPr>
          <w:sz w:val="24"/>
        </w:rPr>
        <w:t>Public safety p</w:t>
      </w:r>
      <w:r w:rsidR="00D115FB" w:rsidRPr="004F5465">
        <w:rPr>
          <w:sz w:val="24"/>
        </w:rPr>
        <w:t xml:space="preserve">ension funding represents </w:t>
      </w:r>
      <w:r w:rsidR="004F5465" w:rsidRPr="004F5465">
        <w:rPr>
          <w:sz w:val="24"/>
        </w:rPr>
        <w:t xml:space="preserve">23.9% </w:t>
      </w:r>
      <w:r w:rsidR="00F82859" w:rsidRPr="004F5465">
        <w:rPr>
          <w:sz w:val="24"/>
        </w:rPr>
        <w:t>of the overall tax levy, an increase from 2</w:t>
      </w:r>
      <w:r w:rsidR="004F5465" w:rsidRPr="004F5465">
        <w:rPr>
          <w:sz w:val="24"/>
        </w:rPr>
        <w:t>3.5</w:t>
      </w:r>
      <w:r w:rsidR="00F82859" w:rsidRPr="004F5465">
        <w:rPr>
          <w:sz w:val="24"/>
        </w:rPr>
        <w:t>% the prior year.</w:t>
      </w:r>
    </w:p>
    <w:p w:rsidR="00C8020A" w:rsidRPr="004F5465" w:rsidRDefault="00C8020A" w:rsidP="000207E8">
      <w:pPr>
        <w:tabs>
          <w:tab w:val="left" w:pos="720"/>
        </w:tabs>
        <w:rPr>
          <w:sz w:val="24"/>
        </w:rPr>
      </w:pPr>
    </w:p>
    <w:p w:rsidR="00FD7CDE" w:rsidRPr="004F5465" w:rsidRDefault="00FD7CDE" w:rsidP="000207E8">
      <w:pPr>
        <w:tabs>
          <w:tab w:val="left" w:pos="720"/>
        </w:tabs>
        <w:rPr>
          <w:sz w:val="24"/>
        </w:rPr>
      </w:pPr>
    </w:p>
    <w:p w:rsidR="0082554F" w:rsidRDefault="0082554F" w:rsidP="008649AA">
      <w:pPr>
        <w:tabs>
          <w:tab w:val="left" w:pos="720"/>
        </w:tabs>
        <w:rPr>
          <w:sz w:val="24"/>
          <w:highlight w:val="yellow"/>
        </w:rPr>
      </w:pPr>
    </w:p>
    <w:p w:rsidR="0082554F" w:rsidRDefault="0082554F" w:rsidP="008649AA">
      <w:pPr>
        <w:tabs>
          <w:tab w:val="left" w:pos="720"/>
        </w:tabs>
        <w:rPr>
          <w:sz w:val="24"/>
          <w:highlight w:val="yellow"/>
        </w:rPr>
      </w:pPr>
      <w:r>
        <w:rPr>
          <w:noProof/>
        </w:rPr>
        <w:lastRenderedPageBreak/>
        <w:drawing>
          <wp:inline distT="0" distB="0" distL="0" distR="0" wp14:anchorId="3377CE58" wp14:editId="3CD463E6">
            <wp:extent cx="5577840" cy="308991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554F" w:rsidRDefault="0082554F" w:rsidP="008649AA">
      <w:pPr>
        <w:tabs>
          <w:tab w:val="left" w:pos="720"/>
        </w:tabs>
        <w:rPr>
          <w:sz w:val="24"/>
          <w:highlight w:val="yellow"/>
        </w:rPr>
      </w:pPr>
    </w:p>
    <w:p w:rsidR="0082554F" w:rsidRDefault="0082554F" w:rsidP="008649AA">
      <w:pPr>
        <w:tabs>
          <w:tab w:val="left" w:pos="720"/>
        </w:tabs>
        <w:rPr>
          <w:sz w:val="24"/>
          <w:highlight w:val="yellow"/>
        </w:rPr>
      </w:pPr>
    </w:p>
    <w:p w:rsidR="0082554F" w:rsidRDefault="0082554F" w:rsidP="008649AA">
      <w:pPr>
        <w:tabs>
          <w:tab w:val="left" w:pos="720"/>
        </w:tabs>
        <w:rPr>
          <w:sz w:val="24"/>
          <w:highlight w:val="yellow"/>
        </w:rPr>
      </w:pPr>
    </w:p>
    <w:p w:rsidR="008649AA" w:rsidRPr="00B60C35" w:rsidRDefault="008649AA" w:rsidP="008649AA">
      <w:pPr>
        <w:tabs>
          <w:tab w:val="left" w:pos="720"/>
        </w:tabs>
        <w:rPr>
          <w:sz w:val="24"/>
        </w:rPr>
      </w:pPr>
      <w:r w:rsidRPr="0082554F">
        <w:rPr>
          <w:sz w:val="24"/>
        </w:rPr>
        <w:t xml:space="preserve"> </w:t>
      </w:r>
      <w:r w:rsidRPr="00B60C35">
        <w:rPr>
          <w:sz w:val="24"/>
        </w:rPr>
        <w:t>The percentage increases in the Village tax levy dollars over the prior year’s extended levy for the last ten years are as follows:</w:t>
      </w:r>
      <w:r w:rsidRPr="00B60C35">
        <w:rPr>
          <w:sz w:val="24"/>
        </w:rPr>
        <w:tab/>
      </w:r>
    </w:p>
    <w:p w:rsidR="000207E8" w:rsidRPr="00B60C35" w:rsidRDefault="008847B5" w:rsidP="000207E8">
      <w:pPr>
        <w:tabs>
          <w:tab w:val="left" w:pos="720"/>
        </w:tabs>
        <w:rPr>
          <w:sz w:val="24"/>
        </w:rPr>
      </w:pPr>
      <w:r w:rsidRPr="00B60C35">
        <w:rPr>
          <w:sz w:val="24"/>
        </w:rPr>
        <w:tab/>
      </w:r>
    </w:p>
    <w:tbl>
      <w:tblPr>
        <w:tblW w:w="5592" w:type="dxa"/>
        <w:tblInd w:w="1062" w:type="dxa"/>
        <w:tblLook w:val="04A0" w:firstRow="1" w:lastRow="0" w:firstColumn="1" w:lastColumn="0" w:noHBand="0" w:noVBand="1"/>
      </w:tblPr>
      <w:tblGrid>
        <w:gridCol w:w="656"/>
        <w:gridCol w:w="300"/>
        <w:gridCol w:w="696"/>
        <w:gridCol w:w="716"/>
        <w:gridCol w:w="696"/>
        <w:gridCol w:w="300"/>
        <w:gridCol w:w="696"/>
        <w:gridCol w:w="836"/>
        <w:gridCol w:w="696"/>
      </w:tblGrid>
      <w:tr w:rsidR="00887D90" w:rsidRPr="00B60C35" w:rsidTr="00B07440">
        <w:trPr>
          <w:trHeight w:val="300"/>
        </w:trPr>
        <w:tc>
          <w:tcPr>
            <w:tcW w:w="656" w:type="dxa"/>
            <w:tcBorders>
              <w:top w:val="nil"/>
              <w:left w:val="nil"/>
              <w:bottom w:val="nil"/>
              <w:right w:val="nil"/>
            </w:tcBorders>
            <w:shd w:val="clear" w:color="auto" w:fill="auto"/>
            <w:noWrap/>
            <w:vAlign w:val="bottom"/>
          </w:tcPr>
          <w:p w:rsidR="00887D90" w:rsidRPr="00B60C35" w:rsidRDefault="00887D90" w:rsidP="00887D90">
            <w:pPr>
              <w:jc w:val="right"/>
              <w:rPr>
                <w:color w:val="000000"/>
                <w:sz w:val="24"/>
                <w:szCs w:val="24"/>
              </w:rPr>
            </w:pPr>
          </w:p>
        </w:tc>
        <w:tc>
          <w:tcPr>
            <w:tcW w:w="300" w:type="dxa"/>
            <w:tcBorders>
              <w:top w:val="nil"/>
              <w:left w:val="nil"/>
              <w:bottom w:val="nil"/>
              <w:right w:val="nil"/>
            </w:tcBorders>
            <w:shd w:val="clear" w:color="auto" w:fill="auto"/>
            <w:noWrap/>
            <w:vAlign w:val="bottom"/>
            <w:hideMark/>
          </w:tcPr>
          <w:p w:rsidR="00887D90" w:rsidRPr="00B60C35" w:rsidRDefault="00887D90" w:rsidP="00887D90">
            <w:pPr>
              <w:rPr>
                <w:sz w:val="24"/>
                <w:szCs w:val="24"/>
              </w:rPr>
            </w:pPr>
          </w:p>
        </w:tc>
        <w:tc>
          <w:tcPr>
            <w:tcW w:w="696" w:type="dxa"/>
            <w:tcBorders>
              <w:top w:val="nil"/>
              <w:left w:val="nil"/>
              <w:bottom w:val="nil"/>
              <w:right w:val="nil"/>
            </w:tcBorders>
            <w:shd w:val="clear" w:color="auto" w:fill="auto"/>
            <w:noWrap/>
            <w:vAlign w:val="bottom"/>
          </w:tcPr>
          <w:p w:rsidR="00887D90" w:rsidRPr="00B60C35" w:rsidRDefault="00887D90" w:rsidP="00B07440">
            <w:pPr>
              <w:jc w:val="right"/>
              <w:rPr>
                <w:color w:val="000000"/>
                <w:sz w:val="24"/>
                <w:szCs w:val="24"/>
              </w:rPr>
            </w:pPr>
            <w:r w:rsidRPr="00B60C35">
              <w:rPr>
                <w:color w:val="000000"/>
                <w:sz w:val="24"/>
                <w:szCs w:val="24"/>
              </w:rPr>
              <w:t>201</w:t>
            </w:r>
            <w:r w:rsidR="00B07440" w:rsidRPr="00B60C35">
              <w:rPr>
                <w:color w:val="000000"/>
                <w:sz w:val="24"/>
                <w:szCs w:val="24"/>
              </w:rPr>
              <w:t>2</w:t>
            </w:r>
          </w:p>
        </w:tc>
        <w:tc>
          <w:tcPr>
            <w:tcW w:w="716" w:type="dxa"/>
            <w:tcBorders>
              <w:top w:val="nil"/>
              <w:left w:val="nil"/>
              <w:bottom w:val="nil"/>
              <w:right w:val="nil"/>
            </w:tcBorders>
            <w:shd w:val="clear" w:color="auto" w:fill="auto"/>
            <w:noWrap/>
            <w:vAlign w:val="bottom"/>
          </w:tcPr>
          <w:p w:rsidR="00887D90" w:rsidRPr="00B60C35" w:rsidRDefault="00B07440" w:rsidP="00B07440">
            <w:pPr>
              <w:jc w:val="right"/>
              <w:rPr>
                <w:color w:val="000000"/>
                <w:sz w:val="24"/>
                <w:szCs w:val="24"/>
              </w:rPr>
            </w:pPr>
            <w:r w:rsidRPr="00B60C35">
              <w:rPr>
                <w:color w:val="000000"/>
                <w:sz w:val="24"/>
                <w:szCs w:val="24"/>
              </w:rPr>
              <w:t>2.7</w:t>
            </w:r>
            <w:r w:rsidR="00887D90" w:rsidRPr="00B60C35">
              <w:rPr>
                <w:color w:val="000000"/>
                <w:sz w:val="24"/>
                <w:szCs w:val="24"/>
              </w:rPr>
              <w:t>%</w:t>
            </w:r>
          </w:p>
        </w:tc>
        <w:tc>
          <w:tcPr>
            <w:tcW w:w="696" w:type="dxa"/>
            <w:tcBorders>
              <w:top w:val="nil"/>
              <w:left w:val="nil"/>
              <w:bottom w:val="nil"/>
              <w:right w:val="nil"/>
            </w:tcBorders>
            <w:shd w:val="clear" w:color="auto" w:fill="auto"/>
            <w:noWrap/>
            <w:vAlign w:val="bottom"/>
          </w:tcPr>
          <w:p w:rsidR="00887D90" w:rsidRPr="00B60C35" w:rsidRDefault="00887D90" w:rsidP="00887D90">
            <w:pPr>
              <w:jc w:val="right"/>
              <w:rPr>
                <w:color w:val="000000"/>
                <w:sz w:val="24"/>
                <w:szCs w:val="24"/>
              </w:rPr>
            </w:pPr>
          </w:p>
        </w:tc>
        <w:tc>
          <w:tcPr>
            <w:tcW w:w="300" w:type="dxa"/>
            <w:tcBorders>
              <w:top w:val="nil"/>
              <w:left w:val="nil"/>
              <w:bottom w:val="nil"/>
              <w:right w:val="nil"/>
            </w:tcBorders>
            <w:shd w:val="clear" w:color="auto" w:fill="auto"/>
            <w:noWrap/>
            <w:vAlign w:val="bottom"/>
            <w:hideMark/>
          </w:tcPr>
          <w:p w:rsidR="00887D90" w:rsidRPr="00B60C35" w:rsidRDefault="00887D90" w:rsidP="00887D90">
            <w:pPr>
              <w:rPr>
                <w:color w:val="000000"/>
                <w:sz w:val="24"/>
                <w:szCs w:val="24"/>
              </w:rPr>
            </w:pPr>
          </w:p>
        </w:tc>
        <w:tc>
          <w:tcPr>
            <w:tcW w:w="696" w:type="dxa"/>
            <w:tcBorders>
              <w:top w:val="nil"/>
              <w:left w:val="nil"/>
              <w:bottom w:val="nil"/>
              <w:right w:val="nil"/>
            </w:tcBorders>
            <w:shd w:val="clear" w:color="auto" w:fill="auto"/>
            <w:noWrap/>
            <w:vAlign w:val="bottom"/>
          </w:tcPr>
          <w:p w:rsidR="00887D90" w:rsidRPr="00B60C35" w:rsidRDefault="00887D90" w:rsidP="00B07440">
            <w:pPr>
              <w:rPr>
                <w:sz w:val="24"/>
                <w:szCs w:val="24"/>
              </w:rPr>
            </w:pPr>
            <w:r w:rsidRPr="00B60C35">
              <w:rPr>
                <w:sz w:val="24"/>
                <w:szCs w:val="24"/>
              </w:rPr>
              <w:t>201</w:t>
            </w:r>
            <w:r w:rsidR="00B07440" w:rsidRPr="00B60C35">
              <w:rPr>
                <w:sz w:val="24"/>
                <w:szCs w:val="24"/>
              </w:rPr>
              <w:t>7</w:t>
            </w:r>
          </w:p>
        </w:tc>
        <w:tc>
          <w:tcPr>
            <w:tcW w:w="836" w:type="dxa"/>
            <w:tcBorders>
              <w:top w:val="nil"/>
              <w:left w:val="nil"/>
              <w:bottom w:val="nil"/>
              <w:right w:val="nil"/>
            </w:tcBorders>
            <w:shd w:val="clear" w:color="auto" w:fill="auto"/>
            <w:noWrap/>
            <w:vAlign w:val="bottom"/>
          </w:tcPr>
          <w:p w:rsidR="00887D90" w:rsidRPr="00B60C35" w:rsidRDefault="00B07440" w:rsidP="00B07440">
            <w:pPr>
              <w:jc w:val="right"/>
              <w:rPr>
                <w:sz w:val="24"/>
                <w:szCs w:val="24"/>
              </w:rPr>
            </w:pPr>
            <w:r w:rsidRPr="00B60C35">
              <w:rPr>
                <w:sz w:val="24"/>
                <w:szCs w:val="24"/>
              </w:rPr>
              <w:t>1.5</w:t>
            </w:r>
            <w:r w:rsidR="00887D90" w:rsidRPr="00B60C35">
              <w:rPr>
                <w:sz w:val="24"/>
                <w:szCs w:val="24"/>
              </w:rPr>
              <w:t>%</w:t>
            </w:r>
          </w:p>
        </w:tc>
        <w:tc>
          <w:tcPr>
            <w:tcW w:w="696" w:type="dxa"/>
            <w:tcBorders>
              <w:top w:val="nil"/>
              <w:left w:val="nil"/>
              <w:bottom w:val="nil"/>
              <w:right w:val="nil"/>
            </w:tcBorders>
            <w:shd w:val="clear" w:color="auto" w:fill="auto"/>
            <w:noWrap/>
            <w:vAlign w:val="bottom"/>
          </w:tcPr>
          <w:p w:rsidR="00887D90" w:rsidRPr="00B60C35" w:rsidRDefault="00B07440" w:rsidP="00887D90">
            <w:pPr>
              <w:rPr>
                <w:sz w:val="24"/>
                <w:szCs w:val="24"/>
              </w:rPr>
            </w:pPr>
            <w:r w:rsidRPr="00B60C35">
              <w:rPr>
                <w:sz w:val="24"/>
                <w:szCs w:val="24"/>
              </w:rPr>
              <w:t>**</w:t>
            </w:r>
          </w:p>
        </w:tc>
      </w:tr>
      <w:tr w:rsidR="00887D90" w:rsidRPr="00B60C35" w:rsidTr="00B07440">
        <w:trPr>
          <w:trHeight w:val="300"/>
        </w:trPr>
        <w:tc>
          <w:tcPr>
            <w:tcW w:w="656" w:type="dxa"/>
            <w:tcBorders>
              <w:top w:val="nil"/>
              <w:left w:val="nil"/>
              <w:bottom w:val="nil"/>
              <w:right w:val="nil"/>
            </w:tcBorders>
            <w:shd w:val="clear" w:color="auto" w:fill="auto"/>
            <w:noWrap/>
            <w:vAlign w:val="bottom"/>
          </w:tcPr>
          <w:p w:rsidR="00887D90" w:rsidRPr="00B60C35" w:rsidRDefault="00887D90" w:rsidP="00887D90">
            <w:pPr>
              <w:jc w:val="right"/>
              <w:rPr>
                <w:color w:val="000000"/>
                <w:sz w:val="24"/>
                <w:szCs w:val="24"/>
              </w:rPr>
            </w:pPr>
          </w:p>
        </w:tc>
        <w:tc>
          <w:tcPr>
            <w:tcW w:w="300" w:type="dxa"/>
            <w:tcBorders>
              <w:top w:val="nil"/>
              <w:left w:val="nil"/>
              <w:bottom w:val="nil"/>
              <w:right w:val="nil"/>
            </w:tcBorders>
            <w:shd w:val="clear" w:color="auto" w:fill="auto"/>
            <w:noWrap/>
            <w:vAlign w:val="bottom"/>
            <w:hideMark/>
          </w:tcPr>
          <w:p w:rsidR="00887D90" w:rsidRPr="00B60C35" w:rsidRDefault="00887D90" w:rsidP="00887D90">
            <w:pPr>
              <w:rPr>
                <w:sz w:val="24"/>
                <w:szCs w:val="24"/>
              </w:rPr>
            </w:pPr>
          </w:p>
        </w:tc>
        <w:tc>
          <w:tcPr>
            <w:tcW w:w="696" w:type="dxa"/>
            <w:tcBorders>
              <w:top w:val="nil"/>
              <w:left w:val="nil"/>
              <w:bottom w:val="nil"/>
              <w:right w:val="nil"/>
            </w:tcBorders>
            <w:shd w:val="clear" w:color="auto" w:fill="auto"/>
            <w:noWrap/>
            <w:vAlign w:val="bottom"/>
          </w:tcPr>
          <w:p w:rsidR="00887D90" w:rsidRPr="00B60C35" w:rsidRDefault="00887D90" w:rsidP="00B07440">
            <w:pPr>
              <w:jc w:val="right"/>
              <w:rPr>
                <w:color w:val="000000"/>
                <w:sz w:val="24"/>
                <w:szCs w:val="24"/>
              </w:rPr>
            </w:pPr>
            <w:r w:rsidRPr="00B60C35">
              <w:rPr>
                <w:color w:val="000000"/>
                <w:sz w:val="24"/>
                <w:szCs w:val="24"/>
              </w:rPr>
              <w:t>201</w:t>
            </w:r>
            <w:r w:rsidR="00B07440" w:rsidRPr="00B60C35">
              <w:rPr>
                <w:color w:val="000000"/>
                <w:sz w:val="24"/>
                <w:szCs w:val="24"/>
              </w:rPr>
              <w:t>3</w:t>
            </w:r>
          </w:p>
        </w:tc>
        <w:tc>
          <w:tcPr>
            <w:tcW w:w="716" w:type="dxa"/>
            <w:tcBorders>
              <w:top w:val="nil"/>
              <w:left w:val="nil"/>
              <w:bottom w:val="nil"/>
              <w:right w:val="nil"/>
            </w:tcBorders>
            <w:shd w:val="clear" w:color="auto" w:fill="auto"/>
            <w:noWrap/>
            <w:vAlign w:val="bottom"/>
          </w:tcPr>
          <w:p w:rsidR="00887D90" w:rsidRPr="00B60C35" w:rsidRDefault="00B07440" w:rsidP="00B07440">
            <w:pPr>
              <w:jc w:val="right"/>
              <w:rPr>
                <w:color w:val="000000"/>
                <w:sz w:val="24"/>
                <w:szCs w:val="24"/>
              </w:rPr>
            </w:pPr>
            <w:r w:rsidRPr="00B60C35">
              <w:rPr>
                <w:color w:val="000000"/>
                <w:sz w:val="24"/>
                <w:szCs w:val="24"/>
              </w:rPr>
              <w:t>1.9</w:t>
            </w:r>
            <w:r w:rsidR="00887D90" w:rsidRPr="00B60C35">
              <w:rPr>
                <w:color w:val="000000"/>
                <w:sz w:val="24"/>
                <w:szCs w:val="24"/>
              </w:rPr>
              <w:t>%</w:t>
            </w:r>
          </w:p>
        </w:tc>
        <w:tc>
          <w:tcPr>
            <w:tcW w:w="696" w:type="dxa"/>
            <w:tcBorders>
              <w:top w:val="nil"/>
              <w:left w:val="nil"/>
              <w:bottom w:val="nil"/>
              <w:right w:val="nil"/>
            </w:tcBorders>
            <w:shd w:val="clear" w:color="auto" w:fill="auto"/>
            <w:noWrap/>
            <w:vAlign w:val="bottom"/>
          </w:tcPr>
          <w:p w:rsidR="00887D90" w:rsidRPr="00B60C35" w:rsidRDefault="00B07440" w:rsidP="00B07440">
            <w:pPr>
              <w:rPr>
                <w:color w:val="000000"/>
                <w:sz w:val="24"/>
                <w:szCs w:val="24"/>
              </w:rPr>
            </w:pPr>
            <w:r w:rsidRPr="00B60C35">
              <w:rPr>
                <w:color w:val="000000"/>
                <w:sz w:val="24"/>
                <w:szCs w:val="24"/>
              </w:rPr>
              <w:t>*</w:t>
            </w:r>
          </w:p>
        </w:tc>
        <w:tc>
          <w:tcPr>
            <w:tcW w:w="300" w:type="dxa"/>
            <w:tcBorders>
              <w:top w:val="nil"/>
              <w:left w:val="nil"/>
              <w:bottom w:val="nil"/>
              <w:right w:val="nil"/>
            </w:tcBorders>
            <w:shd w:val="clear" w:color="auto" w:fill="auto"/>
            <w:noWrap/>
            <w:vAlign w:val="bottom"/>
            <w:hideMark/>
          </w:tcPr>
          <w:p w:rsidR="00887D90" w:rsidRPr="00B60C35" w:rsidRDefault="00887D90" w:rsidP="00887D90">
            <w:pPr>
              <w:rPr>
                <w:color w:val="000000"/>
                <w:sz w:val="24"/>
                <w:szCs w:val="24"/>
              </w:rPr>
            </w:pPr>
          </w:p>
        </w:tc>
        <w:tc>
          <w:tcPr>
            <w:tcW w:w="696" w:type="dxa"/>
            <w:tcBorders>
              <w:top w:val="nil"/>
              <w:left w:val="nil"/>
              <w:bottom w:val="nil"/>
              <w:right w:val="nil"/>
            </w:tcBorders>
            <w:shd w:val="clear" w:color="auto" w:fill="auto"/>
            <w:noWrap/>
            <w:vAlign w:val="bottom"/>
          </w:tcPr>
          <w:p w:rsidR="00887D90" w:rsidRPr="00B60C35" w:rsidRDefault="00887D90" w:rsidP="00B07440">
            <w:pPr>
              <w:rPr>
                <w:sz w:val="24"/>
                <w:szCs w:val="24"/>
              </w:rPr>
            </w:pPr>
            <w:r w:rsidRPr="00B60C35">
              <w:rPr>
                <w:sz w:val="24"/>
                <w:szCs w:val="24"/>
              </w:rPr>
              <w:t>201</w:t>
            </w:r>
            <w:r w:rsidR="00B07440" w:rsidRPr="00B60C35">
              <w:rPr>
                <w:sz w:val="24"/>
                <w:szCs w:val="24"/>
              </w:rPr>
              <w:t>8</w:t>
            </w:r>
          </w:p>
        </w:tc>
        <w:tc>
          <w:tcPr>
            <w:tcW w:w="836" w:type="dxa"/>
            <w:tcBorders>
              <w:top w:val="nil"/>
              <w:left w:val="nil"/>
              <w:bottom w:val="nil"/>
              <w:right w:val="nil"/>
            </w:tcBorders>
            <w:shd w:val="clear" w:color="auto" w:fill="auto"/>
            <w:noWrap/>
            <w:vAlign w:val="bottom"/>
          </w:tcPr>
          <w:p w:rsidR="00887D90" w:rsidRPr="00B60C35" w:rsidRDefault="00B07440" w:rsidP="00B07440">
            <w:pPr>
              <w:rPr>
                <w:sz w:val="24"/>
                <w:szCs w:val="24"/>
              </w:rPr>
            </w:pPr>
            <w:r w:rsidRPr="00B60C35">
              <w:rPr>
                <w:sz w:val="24"/>
                <w:szCs w:val="24"/>
              </w:rPr>
              <w:t xml:space="preserve">  0.0</w:t>
            </w:r>
            <w:r w:rsidR="00887D90" w:rsidRPr="00B60C35">
              <w:rPr>
                <w:sz w:val="24"/>
                <w:szCs w:val="24"/>
              </w:rPr>
              <w:t>%</w:t>
            </w:r>
          </w:p>
        </w:tc>
        <w:tc>
          <w:tcPr>
            <w:tcW w:w="696" w:type="dxa"/>
            <w:tcBorders>
              <w:top w:val="nil"/>
              <w:left w:val="nil"/>
              <w:bottom w:val="nil"/>
              <w:right w:val="nil"/>
            </w:tcBorders>
            <w:shd w:val="clear" w:color="auto" w:fill="auto"/>
            <w:noWrap/>
            <w:vAlign w:val="bottom"/>
          </w:tcPr>
          <w:p w:rsidR="00887D90" w:rsidRPr="00B60C35" w:rsidRDefault="00B07440" w:rsidP="00887D90">
            <w:pPr>
              <w:rPr>
                <w:sz w:val="24"/>
                <w:szCs w:val="24"/>
              </w:rPr>
            </w:pPr>
            <w:r w:rsidRPr="00B60C35">
              <w:rPr>
                <w:sz w:val="24"/>
                <w:szCs w:val="24"/>
              </w:rPr>
              <w:t>**</w:t>
            </w:r>
          </w:p>
        </w:tc>
      </w:tr>
      <w:tr w:rsidR="00887D90" w:rsidRPr="00B60C35" w:rsidTr="00B07440">
        <w:trPr>
          <w:trHeight w:val="300"/>
        </w:trPr>
        <w:tc>
          <w:tcPr>
            <w:tcW w:w="656" w:type="dxa"/>
            <w:tcBorders>
              <w:top w:val="nil"/>
              <w:left w:val="nil"/>
              <w:bottom w:val="nil"/>
              <w:right w:val="nil"/>
            </w:tcBorders>
            <w:shd w:val="clear" w:color="auto" w:fill="auto"/>
            <w:noWrap/>
            <w:vAlign w:val="bottom"/>
          </w:tcPr>
          <w:p w:rsidR="00887D90" w:rsidRPr="00B60C35" w:rsidRDefault="00887D90" w:rsidP="00887D90">
            <w:pPr>
              <w:jc w:val="right"/>
              <w:rPr>
                <w:color w:val="000000"/>
                <w:sz w:val="24"/>
                <w:szCs w:val="24"/>
              </w:rPr>
            </w:pPr>
          </w:p>
        </w:tc>
        <w:tc>
          <w:tcPr>
            <w:tcW w:w="300" w:type="dxa"/>
            <w:tcBorders>
              <w:top w:val="nil"/>
              <w:left w:val="nil"/>
              <w:bottom w:val="nil"/>
              <w:right w:val="nil"/>
            </w:tcBorders>
            <w:shd w:val="clear" w:color="auto" w:fill="auto"/>
            <w:noWrap/>
            <w:vAlign w:val="bottom"/>
            <w:hideMark/>
          </w:tcPr>
          <w:p w:rsidR="00887D90" w:rsidRPr="00B60C35" w:rsidRDefault="00887D90" w:rsidP="00887D90">
            <w:pPr>
              <w:rPr>
                <w:sz w:val="24"/>
                <w:szCs w:val="24"/>
              </w:rPr>
            </w:pPr>
          </w:p>
        </w:tc>
        <w:tc>
          <w:tcPr>
            <w:tcW w:w="696" w:type="dxa"/>
            <w:tcBorders>
              <w:top w:val="nil"/>
              <w:left w:val="nil"/>
              <w:bottom w:val="nil"/>
              <w:right w:val="nil"/>
            </w:tcBorders>
            <w:shd w:val="clear" w:color="auto" w:fill="auto"/>
            <w:noWrap/>
            <w:vAlign w:val="bottom"/>
          </w:tcPr>
          <w:p w:rsidR="00887D90" w:rsidRPr="00B60C35" w:rsidRDefault="00887D90" w:rsidP="00B07440">
            <w:pPr>
              <w:jc w:val="right"/>
              <w:rPr>
                <w:color w:val="000000"/>
                <w:sz w:val="24"/>
                <w:szCs w:val="24"/>
              </w:rPr>
            </w:pPr>
            <w:r w:rsidRPr="00B60C35">
              <w:rPr>
                <w:color w:val="000000"/>
                <w:sz w:val="24"/>
                <w:szCs w:val="24"/>
              </w:rPr>
              <w:t>201</w:t>
            </w:r>
            <w:r w:rsidR="00B07440" w:rsidRPr="00B60C35">
              <w:rPr>
                <w:color w:val="000000"/>
                <w:sz w:val="24"/>
                <w:szCs w:val="24"/>
              </w:rPr>
              <w:t>4</w:t>
            </w:r>
          </w:p>
        </w:tc>
        <w:tc>
          <w:tcPr>
            <w:tcW w:w="716" w:type="dxa"/>
            <w:tcBorders>
              <w:top w:val="nil"/>
              <w:left w:val="nil"/>
              <w:bottom w:val="nil"/>
              <w:right w:val="nil"/>
            </w:tcBorders>
            <w:shd w:val="clear" w:color="auto" w:fill="auto"/>
            <w:noWrap/>
            <w:vAlign w:val="bottom"/>
          </w:tcPr>
          <w:p w:rsidR="00887D90" w:rsidRPr="00B60C35" w:rsidRDefault="00887D90" w:rsidP="00B07440">
            <w:pPr>
              <w:jc w:val="right"/>
              <w:rPr>
                <w:color w:val="000000"/>
                <w:sz w:val="24"/>
                <w:szCs w:val="24"/>
              </w:rPr>
            </w:pPr>
            <w:r w:rsidRPr="00B60C35">
              <w:rPr>
                <w:color w:val="000000"/>
                <w:sz w:val="24"/>
                <w:szCs w:val="24"/>
              </w:rPr>
              <w:t>1.</w:t>
            </w:r>
            <w:r w:rsidR="00B07440" w:rsidRPr="00B60C35">
              <w:rPr>
                <w:color w:val="000000"/>
                <w:sz w:val="24"/>
                <w:szCs w:val="24"/>
              </w:rPr>
              <w:t>4</w:t>
            </w:r>
            <w:r w:rsidRPr="00B60C35">
              <w:rPr>
                <w:color w:val="000000"/>
                <w:sz w:val="24"/>
                <w:szCs w:val="24"/>
              </w:rPr>
              <w:t>%</w:t>
            </w:r>
          </w:p>
        </w:tc>
        <w:tc>
          <w:tcPr>
            <w:tcW w:w="696" w:type="dxa"/>
            <w:tcBorders>
              <w:top w:val="nil"/>
              <w:left w:val="nil"/>
              <w:bottom w:val="nil"/>
              <w:right w:val="nil"/>
            </w:tcBorders>
            <w:shd w:val="clear" w:color="auto" w:fill="auto"/>
            <w:noWrap/>
            <w:vAlign w:val="bottom"/>
          </w:tcPr>
          <w:p w:rsidR="00887D90" w:rsidRPr="00B60C35" w:rsidRDefault="00887D90" w:rsidP="00887D90">
            <w:pPr>
              <w:rPr>
                <w:color w:val="000000"/>
                <w:sz w:val="24"/>
                <w:szCs w:val="24"/>
              </w:rPr>
            </w:pPr>
          </w:p>
        </w:tc>
        <w:tc>
          <w:tcPr>
            <w:tcW w:w="300" w:type="dxa"/>
            <w:tcBorders>
              <w:top w:val="nil"/>
              <w:left w:val="nil"/>
              <w:bottom w:val="nil"/>
              <w:right w:val="nil"/>
            </w:tcBorders>
            <w:shd w:val="clear" w:color="auto" w:fill="auto"/>
            <w:noWrap/>
            <w:vAlign w:val="bottom"/>
            <w:hideMark/>
          </w:tcPr>
          <w:p w:rsidR="00887D90" w:rsidRPr="00B60C35" w:rsidRDefault="00887D90" w:rsidP="00887D90">
            <w:pPr>
              <w:rPr>
                <w:color w:val="000000"/>
                <w:sz w:val="24"/>
                <w:szCs w:val="24"/>
              </w:rPr>
            </w:pPr>
          </w:p>
        </w:tc>
        <w:tc>
          <w:tcPr>
            <w:tcW w:w="696" w:type="dxa"/>
            <w:tcBorders>
              <w:top w:val="nil"/>
              <w:left w:val="nil"/>
              <w:bottom w:val="nil"/>
              <w:right w:val="nil"/>
            </w:tcBorders>
            <w:shd w:val="clear" w:color="auto" w:fill="auto"/>
            <w:noWrap/>
            <w:vAlign w:val="bottom"/>
          </w:tcPr>
          <w:p w:rsidR="00887D90" w:rsidRPr="00B60C35" w:rsidRDefault="00887D90" w:rsidP="00B07440">
            <w:pPr>
              <w:rPr>
                <w:sz w:val="24"/>
                <w:szCs w:val="24"/>
              </w:rPr>
            </w:pPr>
            <w:r w:rsidRPr="00B60C35">
              <w:rPr>
                <w:sz w:val="24"/>
                <w:szCs w:val="24"/>
              </w:rPr>
              <w:t>201</w:t>
            </w:r>
            <w:r w:rsidR="00B07440" w:rsidRPr="00B60C35">
              <w:rPr>
                <w:sz w:val="24"/>
                <w:szCs w:val="24"/>
              </w:rPr>
              <w:t>9</w:t>
            </w:r>
          </w:p>
        </w:tc>
        <w:tc>
          <w:tcPr>
            <w:tcW w:w="836" w:type="dxa"/>
            <w:tcBorders>
              <w:top w:val="nil"/>
              <w:left w:val="nil"/>
              <w:bottom w:val="nil"/>
              <w:right w:val="nil"/>
            </w:tcBorders>
            <w:shd w:val="clear" w:color="auto" w:fill="auto"/>
            <w:noWrap/>
            <w:vAlign w:val="bottom"/>
          </w:tcPr>
          <w:p w:rsidR="00887D90" w:rsidRPr="00B60C35" w:rsidRDefault="00B07440" w:rsidP="00B07440">
            <w:pPr>
              <w:rPr>
                <w:sz w:val="24"/>
                <w:szCs w:val="24"/>
              </w:rPr>
            </w:pPr>
            <w:r w:rsidRPr="00B60C35">
              <w:rPr>
                <w:sz w:val="24"/>
                <w:szCs w:val="24"/>
              </w:rPr>
              <w:t xml:space="preserve">  2.1</w:t>
            </w:r>
            <w:r w:rsidR="00887D90" w:rsidRPr="00B60C35">
              <w:rPr>
                <w:sz w:val="24"/>
                <w:szCs w:val="24"/>
              </w:rPr>
              <w:t>%</w:t>
            </w:r>
          </w:p>
        </w:tc>
        <w:tc>
          <w:tcPr>
            <w:tcW w:w="696" w:type="dxa"/>
            <w:tcBorders>
              <w:top w:val="nil"/>
              <w:left w:val="nil"/>
              <w:bottom w:val="nil"/>
              <w:right w:val="nil"/>
            </w:tcBorders>
            <w:shd w:val="clear" w:color="auto" w:fill="auto"/>
            <w:noWrap/>
            <w:vAlign w:val="bottom"/>
          </w:tcPr>
          <w:p w:rsidR="00887D90" w:rsidRPr="00B60C35" w:rsidRDefault="00B07440" w:rsidP="00887D90">
            <w:pPr>
              <w:rPr>
                <w:sz w:val="24"/>
                <w:szCs w:val="24"/>
              </w:rPr>
            </w:pPr>
            <w:r w:rsidRPr="00B60C35">
              <w:rPr>
                <w:sz w:val="24"/>
                <w:szCs w:val="24"/>
              </w:rPr>
              <w:t>**</w:t>
            </w:r>
          </w:p>
        </w:tc>
      </w:tr>
      <w:tr w:rsidR="00887D90" w:rsidRPr="00B60C35" w:rsidTr="00B07440">
        <w:trPr>
          <w:trHeight w:val="300"/>
        </w:trPr>
        <w:tc>
          <w:tcPr>
            <w:tcW w:w="656" w:type="dxa"/>
            <w:tcBorders>
              <w:top w:val="nil"/>
              <w:left w:val="nil"/>
              <w:bottom w:val="nil"/>
              <w:right w:val="nil"/>
            </w:tcBorders>
            <w:shd w:val="clear" w:color="auto" w:fill="auto"/>
            <w:noWrap/>
            <w:vAlign w:val="bottom"/>
          </w:tcPr>
          <w:p w:rsidR="00887D90" w:rsidRPr="00B60C35" w:rsidRDefault="00887D90" w:rsidP="00887D90">
            <w:pPr>
              <w:jc w:val="right"/>
              <w:rPr>
                <w:color w:val="000000"/>
                <w:sz w:val="24"/>
                <w:szCs w:val="24"/>
              </w:rPr>
            </w:pPr>
          </w:p>
        </w:tc>
        <w:tc>
          <w:tcPr>
            <w:tcW w:w="300" w:type="dxa"/>
            <w:tcBorders>
              <w:top w:val="nil"/>
              <w:left w:val="nil"/>
              <w:bottom w:val="nil"/>
              <w:right w:val="nil"/>
            </w:tcBorders>
            <w:shd w:val="clear" w:color="auto" w:fill="auto"/>
            <w:noWrap/>
            <w:vAlign w:val="bottom"/>
            <w:hideMark/>
          </w:tcPr>
          <w:p w:rsidR="00887D90" w:rsidRPr="00B60C35" w:rsidRDefault="00887D90" w:rsidP="00887D90">
            <w:pPr>
              <w:rPr>
                <w:sz w:val="24"/>
                <w:szCs w:val="24"/>
              </w:rPr>
            </w:pPr>
          </w:p>
        </w:tc>
        <w:tc>
          <w:tcPr>
            <w:tcW w:w="696" w:type="dxa"/>
            <w:tcBorders>
              <w:top w:val="nil"/>
              <w:left w:val="nil"/>
              <w:bottom w:val="nil"/>
              <w:right w:val="nil"/>
            </w:tcBorders>
            <w:shd w:val="clear" w:color="auto" w:fill="auto"/>
            <w:noWrap/>
            <w:vAlign w:val="bottom"/>
          </w:tcPr>
          <w:p w:rsidR="00887D90" w:rsidRPr="00B60C35" w:rsidRDefault="00887D90" w:rsidP="00B07440">
            <w:pPr>
              <w:jc w:val="right"/>
              <w:rPr>
                <w:color w:val="000000"/>
                <w:sz w:val="24"/>
                <w:szCs w:val="24"/>
              </w:rPr>
            </w:pPr>
            <w:r w:rsidRPr="00B60C35">
              <w:rPr>
                <w:color w:val="000000"/>
                <w:sz w:val="24"/>
                <w:szCs w:val="24"/>
              </w:rPr>
              <w:t>201</w:t>
            </w:r>
            <w:r w:rsidR="00B07440" w:rsidRPr="00B60C35">
              <w:rPr>
                <w:color w:val="000000"/>
                <w:sz w:val="24"/>
                <w:szCs w:val="24"/>
              </w:rPr>
              <w:t>5</w:t>
            </w:r>
          </w:p>
        </w:tc>
        <w:tc>
          <w:tcPr>
            <w:tcW w:w="716" w:type="dxa"/>
            <w:tcBorders>
              <w:top w:val="nil"/>
              <w:left w:val="nil"/>
              <w:bottom w:val="nil"/>
              <w:right w:val="nil"/>
            </w:tcBorders>
            <w:shd w:val="clear" w:color="auto" w:fill="auto"/>
            <w:noWrap/>
            <w:vAlign w:val="bottom"/>
          </w:tcPr>
          <w:p w:rsidR="00887D90" w:rsidRPr="00B60C35" w:rsidRDefault="00B07440" w:rsidP="00B07440">
            <w:pPr>
              <w:jc w:val="right"/>
              <w:rPr>
                <w:color w:val="000000"/>
                <w:sz w:val="24"/>
                <w:szCs w:val="24"/>
              </w:rPr>
            </w:pPr>
            <w:r w:rsidRPr="00B60C35">
              <w:rPr>
                <w:color w:val="000000"/>
                <w:sz w:val="24"/>
                <w:szCs w:val="24"/>
              </w:rPr>
              <w:t>2.8</w:t>
            </w:r>
            <w:r w:rsidR="00887D90" w:rsidRPr="00B60C35">
              <w:rPr>
                <w:color w:val="000000"/>
                <w:sz w:val="24"/>
                <w:szCs w:val="24"/>
              </w:rPr>
              <w:t>%</w:t>
            </w:r>
          </w:p>
        </w:tc>
        <w:tc>
          <w:tcPr>
            <w:tcW w:w="696" w:type="dxa"/>
            <w:tcBorders>
              <w:top w:val="nil"/>
              <w:left w:val="nil"/>
              <w:bottom w:val="nil"/>
              <w:right w:val="nil"/>
            </w:tcBorders>
            <w:shd w:val="clear" w:color="auto" w:fill="auto"/>
            <w:noWrap/>
            <w:vAlign w:val="bottom"/>
          </w:tcPr>
          <w:p w:rsidR="00887D90" w:rsidRPr="00B60C35" w:rsidRDefault="00887D90" w:rsidP="00887D90">
            <w:pPr>
              <w:jc w:val="right"/>
              <w:rPr>
                <w:color w:val="000000"/>
                <w:sz w:val="24"/>
                <w:szCs w:val="24"/>
              </w:rPr>
            </w:pPr>
          </w:p>
        </w:tc>
        <w:tc>
          <w:tcPr>
            <w:tcW w:w="300" w:type="dxa"/>
            <w:tcBorders>
              <w:top w:val="nil"/>
              <w:left w:val="nil"/>
              <w:bottom w:val="nil"/>
              <w:right w:val="nil"/>
            </w:tcBorders>
            <w:shd w:val="clear" w:color="auto" w:fill="auto"/>
            <w:noWrap/>
            <w:vAlign w:val="bottom"/>
            <w:hideMark/>
          </w:tcPr>
          <w:p w:rsidR="00887D90" w:rsidRPr="00B60C35" w:rsidRDefault="00887D90" w:rsidP="00887D90">
            <w:pPr>
              <w:rPr>
                <w:color w:val="000000"/>
                <w:sz w:val="24"/>
                <w:szCs w:val="24"/>
              </w:rPr>
            </w:pPr>
          </w:p>
        </w:tc>
        <w:tc>
          <w:tcPr>
            <w:tcW w:w="696" w:type="dxa"/>
            <w:tcBorders>
              <w:top w:val="nil"/>
              <w:left w:val="nil"/>
              <w:bottom w:val="nil"/>
              <w:right w:val="nil"/>
            </w:tcBorders>
            <w:shd w:val="clear" w:color="auto" w:fill="auto"/>
            <w:noWrap/>
            <w:vAlign w:val="bottom"/>
          </w:tcPr>
          <w:p w:rsidR="00887D90" w:rsidRPr="00B60C35" w:rsidRDefault="00887D90" w:rsidP="00B07440">
            <w:pPr>
              <w:rPr>
                <w:sz w:val="24"/>
                <w:szCs w:val="24"/>
              </w:rPr>
            </w:pPr>
            <w:r w:rsidRPr="00B60C35">
              <w:rPr>
                <w:sz w:val="24"/>
                <w:szCs w:val="24"/>
              </w:rPr>
              <w:t>20</w:t>
            </w:r>
            <w:r w:rsidR="00B07440" w:rsidRPr="00B60C35">
              <w:rPr>
                <w:sz w:val="24"/>
                <w:szCs w:val="24"/>
              </w:rPr>
              <w:t>20</w:t>
            </w:r>
          </w:p>
        </w:tc>
        <w:tc>
          <w:tcPr>
            <w:tcW w:w="836" w:type="dxa"/>
            <w:tcBorders>
              <w:top w:val="nil"/>
              <w:left w:val="nil"/>
              <w:bottom w:val="nil"/>
              <w:right w:val="nil"/>
            </w:tcBorders>
            <w:shd w:val="clear" w:color="auto" w:fill="auto"/>
            <w:noWrap/>
            <w:vAlign w:val="bottom"/>
          </w:tcPr>
          <w:p w:rsidR="00887D90" w:rsidRPr="00B60C35" w:rsidRDefault="00B07440" w:rsidP="00B07440">
            <w:pPr>
              <w:rPr>
                <w:sz w:val="24"/>
                <w:szCs w:val="24"/>
              </w:rPr>
            </w:pPr>
            <w:r w:rsidRPr="00B60C35">
              <w:rPr>
                <w:sz w:val="24"/>
                <w:szCs w:val="24"/>
              </w:rPr>
              <w:t>0.85</w:t>
            </w:r>
            <w:r w:rsidR="00887D90" w:rsidRPr="00B60C35">
              <w:rPr>
                <w:sz w:val="24"/>
                <w:szCs w:val="24"/>
              </w:rPr>
              <w:t>%</w:t>
            </w:r>
          </w:p>
        </w:tc>
        <w:tc>
          <w:tcPr>
            <w:tcW w:w="696" w:type="dxa"/>
            <w:tcBorders>
              <w:top w:val="nil"/>
              <w:left w:val="nil"/>
              <w:bottom w:val="nil"/>
              <w:right w:val="nil"/>
            </w:tcBorders>
            <w:shd w:val="clear" w:color="auto" w:fill="auto"/>
            <w:noWrap/>
            <w:vAlign w:val="bottom"/>
          </w:tcPr>
          <w:p w:rsidR="00887D90" w:rsidRPr="00B60C35" w:rsidRDefault="00B07440" w:rsidP="00887D90">
            <w:pPr>
              <w:rPr>
                <w:sz w:val="24"/>
                <w:szCs w:val="24"/>
              </w:rPr>
            </w:pPr>
            <w:r w:rsidRPr="00B60C35">
              <w:rPr>
                <w:sz w:val="24"/>
                <w:szCs w:val="24"/>
              </w:rPr>
              <w:t>**</w:t>
            </w:r>
          </w:p>
        </w:tc>
      </w:tr>
      <w:tr w:rsidR="00B60C35" w:rsidRPr="00B60C35" w:rsidTr="00B07440">
        <w:trPr>
          <w:trHeight w:val="300"/>
        </w:trPr>
        <w:tc>
          <w:tcPr>
            <w:tcW w:w="656" w:type="dxa"/>
            <w:tcBorders>
              <w:top w:val="nil"/>
              <w:left w:val="nil"/>
              <w:bottom w:val="nil"/>
              <w:right w:val="nil"/>
            </w:tcBorders>
            <w:shd w:val="clear" w:color="auto" w:fill="auto"/>
            <w:noWrap/>
            <w:vAlign w:val="bottom"/>
          </w:tcPr>
          <w:p w:rsidR="00B60C35" w:rsidRPr="00B60C35" w:rsidRDefault="00B60C35" w:rsidP="00887D90">
            <w:pPr>
              <w:jc w:val="right"/>
              <w:rPr>
                <w:color w:val="000000"/>
                <w:sz w:val="24"/>
                <w:szCs w:val="24"/>
              </w:rPr>
            </w:pPr>
          </w:p>
        </w:tc>
        <w:tc>
          <w:tcPr>
            <w:tcW w:w="300" w:type="dxa"/>
            <w:tcBorders>
              <w:top w:val="nil"/>
              <w:left w:val="nil"/>
              <w:bottom w:val="nil"/>
              <w:right w:val="nil"/>
            </w:tcBorders>
            <w:shd w:val="clear" w:color="auto" w:fill="auto"/>
            <w:noWrap/>
            <w:vAlign w:val="bottom"/>
          </w:tcPr>
          <w:p w:rsidR="00B60C35" w:rsidRPr="00B60C35" w:rsidRDefault="00B60C35" w:rsidP="00887D90">
            <w:pPr>
              <w:rPr>
                <w:sz w:val="24"/>
                <w:szCs w:val="24"/>
              </w:rPr>
            </w:pPr>
          </w:p>
        </w:tc>
        <w:tc>
          <w:tcPr>
            <w:tcW w:w="696" w:type="dxa"/>
            <w:tcBorders>
              <w:top w:val="nil"/>
              <w:left w:val="nil"/>
              <w:bottom w:val="nil"/>
              <w:right w:val="nil"/>
            </w:tcBorders>
            <w:shd w:val="clear" w:color="auto" w:fill="auto"/>
            <w:noWrap/>
            <w:vAlign w:val="bottom"/>
          </w:tcPr>
          <w:p w:rsidR="00B60C35" w:rsidRPr="00B60C35" w:rsidRDefault="00B60C35" w:rsidP="00B07440">
            <w:pPr>
              <w:jc w:val="right"/>
              <w:rPr>
                <w:color w:val="000000"/>
                <w:sz w:val="24"/>
                <w:szCs w:val="24"/>
              </w:rPr>
            </w:pPr>
            <w:r w:rsidRPr="00B60C35">
              <w:rPr>
                <w:color w:val="000000"/>
                <w:sz w:val="24"/>
                <w:szCs w:val="24"/>
              </w:rPr>
              <w:t>2016</w:t>
            </w:r>
          </w:p>
        </w:tc>
        <w:tc>
          <w:tcPr>
            <w:tcW w:w="716" w:type="dxa"/>
            <w:tcBorders>
              <w:top w:val="nil"/>
              <w:left w:val="nil"/>
              <w:bottom w:val="nil"/>
              <w:right w:val="nil"/>
            </w:tcBorders>
            <w:shd w:val="clear" w:color="auto" w:fill="auto"/>
            <w:noWrap/>
            <w:vAlign w:val="bottom"/>
          </w:tcPr>
          <w:p w:rsidR="00B60C35" w:rsidRPr="00B60C35" w:rsidRDefault="00B60C35" w:rsidP="00B07440">
            <w:pPr>
              <w:jc w:val="right"/>
              <w:rPr>
                <w:color w:val="000000"/>
                <w:sz w:val="24"/>
                <w:szCs w:val="24"/>
              </w:rPr>
            </w:pPr>
            <w:r w:rsidRPr="00B60C35">
              <w:rPr>
                <w:color w:val="000000"/>
                <w:sz w:val="24"/>
                <w:szCs w:val="24"/>
              </w:rPr>
              <w:t>2.9%</w:t>
            </w:r>
          </w:p>
        </w:tc>
        <w:tc>
          <w:tcPr>
            <w:tcW w:w="696" w:type="dxa"/>
            <w:tcBorders>
              <w:top w:val="nil"/>
              <w:left w:val="nil"/>
              <w:bottom w:val="nil"/>
              <w:right w:val="nil"/>
            </w:tcBorders>
            <w:shd w:val="clear" w:color="auto" w:fill="auto"/>
            <w:noWrap/>
            <w:vAlign w:val="bottom"/>
          </w:tcPr>
          <w:p w:rsidR="00B60C35" w:rsidRPr="00B60C35" w:rsidRDefault="00B60C35" w:rsidP="00B60C35">
            <w:pPr>
              <w:rPr>
                <w:color w:val="000000"/>
                <w:sz w:val="24"/>
                <w:szCs w:val="24"/>
              </w:rPr>
            </w:pPr>
            <w:r w:rsidRPr="00B60C35">
              <w:rPr>
                <w:color w:val="000000"/>
                <w:sz w:val="24"/>
                <w:szCs w:val="24"/>
              </w:rPr>
              <w:t>*</w:t>
            </w:r>
          </w:p>
        </w:tc>
        <w:tc>
          <w:tcPr>
            <w:tcW w:w="300" w:type="dxa"/>
            <w:tcBorders>
              <w:top w:val="nil"/>
              <w:left w:val="nil"/>
              <w:bottom w:val="nil"/>
              <w:right w:val="nil"/>
            </w:tcBorders>
            <w:shd w:val="clear" w:color="auto" w:fill="auto"/>
            <w:noWrap/>
            <w:vAlign w:val="bottom"/>
          </w:tcPr>
          <w:p w:rsidR="00B60C35" w:rsidRPr="00B60C35" w:rsidRDefault="00B60C35" w:rsidP="00887D90">
            <w:pPr>
              <w:rPr>
                <w:color w:val="000000"/>
                <w:sz w:val="24"/>
                <w:szCs w:val="24"/>
              </w:rPr>
            </w:pPr>
          </w:p>
        </w:tc>
        <w:tc>
          <w:tcPr>
            <w:tcW w:w="696" w:type="dxa"/>
            <w:tcBorders>
              <w:top w:val="nil"/>
              <w:left w:val="nil"/>
              <w:bottom w:val="nil"/>
              <w:right w:val="nil"/>
            </w:tcBorders>
            <w:shd w:val="clear" w:color="auto" w:fill="auto"/>
            <w:noWrap/>
            <w:vAlign w:val="bottom"/>
          </w:tcPr>
          <w:p w:rsidR="00B60C35" w:rsidRPr="00B60C35" w:rsidRDefault="00B60C35" w:rsidP="00B07440">
            <w:pPr>
              <w:rPr>
                <w:sz w:val="24"/>
                <w:szCs w:val="24"/>
              </w:rPr>
            </w:pPr>
            <w:r w:rsidRPr="00B60C35">
              <w:rPr>
                <w:sz w:val="24"/>
                <w:szCs w:val="24"/>
              </w:rPr>
              <w:t>2021</w:t>
            </w:r>
          </w:p>
        </w:tc>
        <w:tc>
          <w:tcPr>
            <w:tcW w:w="836" w:type="dxa"/>
            <w:tcBorders>
              <w:top w:val="nil"/>
              <w:left w:val="nil"/>
              <w:bottom w:val="nil"/>
              <w:right w:val="nil"/>
            </w:tcBorders>
            <w:shd w:val="clear" w:color="auto" w:fill="auto"/>
            <w:noWrap/>
            <w:vAlign w:val="bottom"/>
          </w:tcPr>
          <w:p w:rsidR="00B60C35" w:rsidRPr="00B60C35" w:rsidRDefault="00B60C35" w:rsidP="00B07440">
            <w:pPr>
              <w:rPr>
                <w:sz w:val="24"/>
                <w:szCs w:val="24"/>
              </w:rPr>
            </w:pPr>
            <w:r w:rsidRPr="00B60C35">
              <w:rPr>
                <w:sz w:val="24"/>
                <w:szCs w:val="24"/>
              </w:rPr>
              <w:t xml:space="preserve"> </w:t>
            </w:r>
            <w:r>
              <w:rPr>
                <w:sz w:val="24"/>
                <w:szCs w:val="24"/>
              </w:rPr>
              <w:t xml:space="preserve"> </w:t>
            </w:r>
            <w:r w:rsidRPr="00B60C35">
              <w:rPr>
                <w:sz w:val="24"/>
                <w:szCs w:val="24"/>
              </w:rPr>
              <w:t>0.0%</w:t>
            </w:r>
          </w:p>
        </w:tc>
        <w:tc>
          <w:tcPr>
            <w:tcW w:w="696" w:type="dxa"/>
            <w:tcBorders>
              <w:top w:val="nil"/>
              <w:left w:val="nil"/>
              <w:bottom w:val="nil"/>
              <w:right w:val="nil"/>
            </w:tcBorders>
            <w:shd w:val="clear" w:color="auto" w:fill="auto"/>
            <w:noWrap/>
            <w:vAlign w:val="bottom"/>
          </w:tcPr>
          <w:p w:rsidR="00B60C35" w:rsidRPr="00B60C35" w:rsidRDefault="00B60C35" w:rsidP="00887D90">
            <w:pPr>
              <w:rPr>
                <w:sz w:val="24"/>
                <w:szCs w:val="24"/>
              </w:rPr>
            </w:pPr>
            <w:r w:rsidRPr="00B60C35">
              <w:rPr>
                <w:sz w:val="24"/>
                <w:szCs w:val="24"/>
              </w:rPr>
              <w:t>**</w:t>
            </w:r>
          </w:p>
        </w:tc>
      </w:tr>
    </w:tbl>
    <w:p w:rsidR="00932D93" w:rsidRPr="00B60C35" w:rsidRDefault="00932D93" w:rsidP="000207E8">
      <w:pPr>
        <w:tabs>
          <w:tab w:val="left" w:pos="720"/>
          <w:tab w:val="left" w:pos="2970"/>
          <w:tab w:val="left" w:pos="5130"/>
        </w:tabs>
        <w:rPr>
          <w:sz w:val="12"/>
          <w:szCs w:val="24"/>
        </w:rPr>
      </w:pPr>
    </w:p>
    <w:p w:rsidR="00B62CA0" w:rsidRPr="00B60C35" w:rsidRDefault="00B62CA0" w:rsidP="00B62CA0">
      <w:pPr>
        <w:pStyle w:val="BodyTextIndent"/>
        <w:tabs>
          <w:tab w:val="left" w:pos="0"/>
          <w:tab w:val="left" w:pos="540"/>
        </w:tabs>
        <w:ind w:left="540" w:hanging="540"/>
        <w:rPr>
          <w:sz w:val="22"/>
          <w:szCs w:val="22"/>
        </w:rPr>
      </w:pPr>
      <w:r w:rsidRPr="00B60C35">
        <w:rPr>
          <w:sz w:val="22"/>
          <w:szCs w:val="22"/>
        </w:rPr>
        <w:t>*</w:t>
      </w:r>
      <w:r w:rsidRPr="00B60C35">
        <w:rPr>
          <w:sz w:val="22"/>
          <w:szCs w:val="22"/>
        </w:rPr>
        <w:tab/>
        <w:t xml:space="preserve">The increase in </w:t>
      </w:r>
      <w:r w:rsidR="00CD09F2" w:rsidRPr="00B60C35">
        <w:rPr>
          <w:sz w:val="22"/>
          <w:szCs w:val="22"/>
        </w:rPr>
        <w:t>2013</w:t>
      </w:r>
      <w:r w:rsidR="00C8163E" w:rsidRPr="00B60C35">
        <w:rPr>
          <w:sz w:val="22"/>
          <w:szCs w:val="22"/>
        </w:rPr>
        <w:t xml:space="preserve"> and 2016</w:t>
      </w:r>
      <w:r w:rsidR="00CD09F2" w:rsidRPr="00B60C35">
        <w:rPr>
          <w:sz w:val="22"/>
          <w:szCs w:val="22"/>
        </w:rPr>
        <w:t xml:space="preserve"> </w:t>
      </w:r>
      <w:r w:rsidRPr="00B60C35">
        <w:rPr>
          <w:sz w:val="22"/>
          <w:szCs w:val="22"/>
        </w:rPr>
        <w:t>included a 0% increase in the General Corporate Levy.  The entire increase related to the pension funds.</w:t>
      </w:r>
    </w:p>
    <w:p w:rsidR="00B07440" w:rsidRPr="00B60C35" w:rsidRDefault="00B07440" w:rsidP="00B62CA0">
      <w:pPr>
        <w:pStyle w:val="BodyTextIndent"/>
        <w:tabs>
          <w:tab w:val="left" w:pos="0"/>
          <w:tab w:val="left" w:pos="540"/>
        </w:tabs>
        <w:ind w:left="540" w:hanging="540"/>
        <w:rPr>
          <w:sz w:val="22"/>
          <w:szCs w:val="22"/>
        </w:rPr>
      </w:pPr>
      <w:r w:rsidRPr="00B60C35">
        <w:rPr>
          <w:sz w:val="22"/>
          <w:szCs w:val="22"/>
        </w:rPr>
        <w:t>**</w:t>
      </w:r>
      <w:r w:rsidRPr="00B60C35">
        <w:rPr>
          <w:sz w:val="22"/>
          <w:szCs w:val="22"/>
        </w:rPr>
        <w:tab/>
        <w:t>T</w:t>
      </w:r>
      <w:r w:rsidR="00150FC1" w:rsidRPr="00B60C35">
        <w:rPr>
          <w:sz w:val="22"/>
          <w:szCs w:val="22"/>
        </w:rPr>
        <w:t>he</w:t>
      </w:r>
      <w:r w:rsidRPr="00B60C35">
        <w:rPr>
          <w:sz w:val="22"/>
          <w:szCs w:val="22"/>
        </w:rPr>
        <w:t xml:space="preserve"> cumulative increase in the Village’s tax levy from 2017 to 202</w:t>
      </w:r>
      <w:r w:rsidR="00B60C35" w:rsidRPr="00B60C35">
        <w:rPr>
          <w:sz w:val="22"/>
          <w:szCs w:val="22"/>
        </w:rPr>
        <w:t>1</w:t>
      </w:r>
      <w:r w:rsidRPr="00B60C35">
        <w:rPr>
          <w:sz w:val="22"/>
          <w:szCs w:val="22"/>
        </w:rPr>
        <w:t xml:space="preserve"> was </w:t>
      </w:r>
      <w:r w:rsidR="00150FC1" w:rsidRPr="00B60C35">
        <w:rPr>
          <w:sz w:val="22"/>
          <w:szCs w:val="22"/>
        </w:rPr>
        <w:t xml:space="preserve">4.45%.  However, the cumulative increase in CPI used to calculate the allowable levy increase for tax-capped Illinois communities was </w:t>
      </w:r>
      <w:r w:rsidR="00B60C35" w:rsidRPr="00B60C35">
        <w:rPr>
          <w:sz w:val="22"/>
          <w:szCs w:val="22"/>
        </w:rPr>
        <w:t>9.8</w:t>
      </w:r>
      <w:r w:rsidR="00150FC1" w:rsidRPr="00B60C35">
        <w:rPr>
          <w:sz w:val="22"/>
          <w:szCs w:val="22"/>
        </w:rPr>
        <w:t xml:space="preserve">%.  This means the Village has increased its tax levy by about </w:t>
      </w:r>
      <w:r w:rsidR="00B60C35" w:rsidRPr="00B60C35">
        <w:rPr>
          <w:sz w:val="22"/>
          <w:szCs w:val="22"/>
        </w:rPr>
        <w:t>45%</w:t>
      </w:r>
      <w:r w:rsidR="00150FC1" w:rsidRPr="00B60C35">
        <w:rPr>
          <w:sz w:val="22"/>
          <w:szCs w:val="22"/>
        </w:rPr>
        <w:t xml:space="preserve"> as much as the surrounding municipalities who are tax-capped. </w:t>
      </w:r>
    </w:p>
    <w:p w:rsidR="004B4C2B" w:rsidRPr="007E59DA" w:rsidRDefault="004B4C2B" w:rsidP="00B62CA0">
      <w:pPr>
        <w:pStyle w:val="BodyTextIndent"/>
        <w:tabs>
          <w:tab w:val="left" w:pos="0"/>
          <w:tab w:val="left" w:pos="540"/>
        </w:tabs>
        <w:ind w:left="540" w:hanging="540"/>
        <w:rPr>
          <w:sz w:val="22"/>
          <w:szCs w:val="22"/>
        </w:rPr>
      </w:pPr>
    </w:p>
    <w:p w:rsidR="00BF34E3" w:rsidRPr="007E59DA" w:rsidRDefault="00BF34E3" w:rsidP="004222F5">
      <w:pPr>
        <w:pStyle w:val="BodyTextIndent"/>
        <w:tabs>
          <w:tab w:val="left" w:pos="0"/>
        </w:tabs>
        <w:ind w:firstLine="0"/>
        <w:rPr>
          <w:szCs w:val="24"/>
        </w:rPr>
      </w:pPr>
      <w:r w:rsidRPr="007E59DA">
        <w:rPr>
          <w:szCs w:val="24"/>
        </w:rPr>
        <w:t xml:space="preserve">For </w:t>
      </w:r>
      <w:r w:rsidR="001F56E6" w:rsidRPr="007E59DA">
        <w:rPr>
          <w:szCs w:val="24"/>
        </w:rPr>
        <w:t>many</w:t>
      </w:r>
      <w:r w:rsidRPr="007E59DA">
        <w:rPr>
          <w:szCs w:val="24"/>
        </w:rPr>
        <w:t xml:space="preserve"> years</w:t>
      </w:r>
      <w:r w:rsidR="004222F5" w:rsidRPr="007E59DA">
        <w:rPr>
          <w:szCs w:val="24"/>
        </w:rPr>
        <w:t xml:space="preserve">, </w:t>
      </w:r>
      <w:r w:rsidRPr="007E59DA">
        <w:rPr>
          <w:szCs w:val="24"/>
        </w:rPr>
        <w:t xml:space="preserve">the increase in the tax levy </w:t>
      </w:r>
      <w:r w:rsidR="00045DFD" w:rsidRPr="007E59DA">
        <w:rPr>
          <w:szCs w:val="24"/>
        </w:rPr>
        <w:t>was</w:t>
      </w:r>
      <w:r w:rsidRPr="007E59DA">
        <w:rPr>
          <w:szCs w:val="24"/>
        </w:rPr>
        <w:t xml:space="preserve"> </w:t>
      </w:r>
      <w:r w:rsidR="001F56E6" w:rsidRPr="007E59DA">
        <w:rPr>
          <w:szCs w:val="24"/>
        </w:rPr>
        <w:t xml:space="preserve">tried to be </w:t>
      </w:r>
      <w:r w:rsidRPr="007E59DA">
        <w:rPr>
          <w:szCs w:val="24"/>
        </w:rPr>
        <w:t>he</w:t>
      </w:r>
      <w:r w:rsidR="00ED7776" w:rsidRPr="007E59DA">
        <w:rPr>
          <w:szCs w:val="24"/>
        </w:rPr>
        <w:t xml:space="preserve">ld to 3% </w:t>
      </w:r>
      <w:r w:rsidR="0092078D" w:rsidRPr="007E59DA">
        <w:rPr>
          <w:szCs w:val="24"/>
        </w:rPr>
        <w:t xml:space="preserve">or less </w:t>
      </w:r>
      <w:r w:rsidR="00ED7776" w:rsidRPr="007E59DA">
        <w:rPr>
          <w:szCs w:val="24"/>
        </w:rPr>
        <w:t>by utilizing</w:t>
      </w:r>
      <w:r w:rsidR="0092078D" w:rsidRPr="007E59DA">
        <w:rPr>
          <w:szCs w:val="24"/>
        </w:rPr>
        <w:t xml:space="preserve"> </w:t>
      </w:r>
      <w:r w:rsidRPr="007E59DA">
        <w:rPr>
          <w:szCs w:val="24"/>
        </w:rPr>
        <w:t xml:space="preserve">General Fund Balance carryover to reduce the levy.  </w:t>
      </w:r>
      <w:r w:rsidR="006A0604" w:rsidRPr="007E59DA">
        <w:rPr>
          <w:szCs w:val="24"/>
        </w:rPr>
        <w:t>For the 20</w:t>
      </w:r>
      <w:r w:rsidR="001F56E6" w:rsidRPr="007E59DA">
        <w:rPr>
          <w:szCs w:val="24"/>
        </w:rPr>
        <w:t>2</w:t>
      </w:r>
      <w:r w:rsidR="007E59DA" w:rsidRPr="007E59DA">
        <w:rPr>
          <w:szCs w:val="24"/>
        </w:rPr>
        <w:t>2</w:t>
      </w:r>
      <w:r w:rsidR="006A0604" w:rsidRPr="007E59DA">
        <w:rPr>
          <w:szCs w:val="24"/>
        </w:rPr>
        <w:t>/20</w:t>
      </w:r>
      <w:r w:rsidR="00B05933" w:rsidRPr="007E59DA">
        <w:rPr>
          <w:szCs w:val="24"/>
        </w:rPr>
        <w:t>2</w:t>
      </w:r>
      <w:r w:rsidR="007E59DA" w:rsidRPr="007E59DA">
        <w:rPr>
          <w:szCs w:val="24"/>
        </w:rPr>
        <w:t>3</w:t>
      </w:r>
      <w:r w:rsidR="000546C3" w:rsidRPr="007E59DA">
        <w:rPr>
          <w:szCs w:val="24"/>
        </w:rPr>
        <w:t xml:space="preserve"> </w:t>
      </w:r>
      <w:r w:rsidR="006A0604" w:rsidRPr="007E59DA">
        <w:rPr>
          <w:szCs w:val="24"/>
        </w:rPr>
        <w:t xml:space="preserve">Budget, </w:t>
      </w:r>
      <w:r w:rsidR="000546C3" w:rsidRPr="007E59DA">
        <w:rPr>
          <w:szCs w:val="24"/>
        </w:rPr>
        <w:t xml:space="preserve">the </w:t>
      </w:r>
      <w:r w:rsidR="006A0604" w:rsidRPr="007E59DA">
        <w:rPr>
          <w:szCs w:val="24"/>
        </w:rPr>
        <w:t>20</w:t>
      </w:r>
      <w:r w:rsidR="00CF1965" w:rsidRPr="007E59DA">
        <w:rPr>
          <w:szCs w:val="24"/>
        </w:rPr>
        <w:t>2</w:t>
      </w:r>
      <w:r w:rsidR="007E59DA" w:rsidRPr="007E59DA">
        <w:rPr>
          <w:szCs w:val="24"/>
        </w:rPr>
        <w:t>1</w:t>
      </w:r>
      <w:r w:rsidR="006A0604" w:rsidRPr="007E59DA">
        <w:rPr>
          <w:szCs w:val="24"/>
        </w:rPr>
        <w:t xml:space="preserve"> </w:t>
      </w:r>
      <w:r w:rsidRPr="007E59DA">
        <w:rPr>
          <w:szCs w:val="24"/>
        </w:rPr>
        <w:t>levy increase</w:t>
      </w:r>
      <w:r w:rsidR="000546C3" w:rsidRPr="007E59DA">
        <w:rPr>
          <w:szCs w:val="24"/>
        </w:rPr>
        <w:t xml:space="preserve"> </w:t>
      </w:r>
      <w:r w:rsidRPr="007E59DA">
        <w:rPr>
          <w:szCs w:val="24"/>
        </w:rPr>
        <w:t>allow</w:t>
      </w:r>
      <w:r w:rsidR="006A0604" w:rsidRPr="007E59DA">
        <w:rPr>
          <w:szCs w:val="24"/>
        </w:rPr>
        <w:t>s</w:t>
      </w:r>
      <w:r w:rsidRPr="007E59DA">
        <w:rPr>
          <w:szCs w:val="24"/>
        </w:rPr>
        <w:t xml:space="preserve"> for a </w:t>
      </w:r>
      <w:r w:rsidR="007E59DA" w:rsidRPr="007E59DA">
        <w:rPr>
          <w:szCs w:val="24"/>
        </w:rPr>
        <w:t>3</w:t>
      </w:r>
      <w:r w:rsidRPr="007E59DA">
        <w:rPr>
          <w:szCs w:val="24"/>
        </w:rPr>
        <w:t>% increase in salaries</w:t>
      </w:r>
      <w:r w:rsidR="00D14D52" w:rsidRPr="007E59DA">
        <w:rPr>
          <w:szCs w:val="24"/>
        </w:rPr>
        <w:t xml:space="preserve"> for </w:t>
      </w:r>
      <w:r w:rsidR="005F0C5F" w:rsidRPr="007E59DA">
        <w:rPr>
          <w:szCs w:val="24"/>
        </w:rPr>
        <w:t>all staff</w:t>
      </w:r>
      <w:r w:rsidR="000546C3" w:rsidRPr="007E59DA">
        <w:rPr>
          <w:szCs w:val="24"/>
        </w:rPr>
        <w:t xml:space="preserve">.  </w:t>
      </w:r>
      <w:r w:rsidR="001400A5" w:rsidRPr="007E59DA">
        <w:rPr>
          <w:szCs w:val="24"/>
        </w:rPr>
        <w:t xml:space="preserve">This is consistent with the approved union contracts.  </w:t>
      </w:r>
      <w:r w:rsidRPr="007E59DA">
        <w:rPr>
          <w:szCs w:val="24"/>
        </w:rPr>
        <w:t xml:space="preserve">Budget Guidelines </w:t>
      </w:r>
      <w:r w:rsidR="005C55C6" w:rsidRPr="007E59DA">
        <w:rPr>
          <w:szCs w:val="24"/>
        </w:rPr>
        <w:t xml:space="preserve">allowed for a </w:t>
      </w:r>
      <w:r w:rsidR="00CF1965" w:rsidRPr="007E59DA">
        <w:rPr>
          <w:szCs w:val="24"/>
        </w:rPr>
        <w:t>0</w:t>
      </w:r>
      <w:r w:rsidRPr="007E59DA">
        <w:rPr>
          <w:szCs w:val="24"/>
        </w:rPr>
        <w:t>% increase in expenditures excluding salaries and insurance</w:t>
      </w:r>
      <w:r w:rsidR="00CF1965" w:rsidRPr="007E59DA">
        <w:rPr>
          <w:szCs w:val="24"/>
        </w:rPr>
        <w:t xml:space="preserve"> even though the 202</w:t>
      </w:r>
      <w:r w:rsidR="007E59DA" w:rsidRPr="007E59DA">
        <w:rPr>
          <w:szCs w:val="24"/>
        </w:rPr>
        <w:t>1</w:t>
      </w:r>
      <w:r w:rsidR="00CF1965" w:rsidRPr="007E59DA">
        <w:rPr>
          <w:szCs w:val="24"/>
        </w:rPr>
        <w:t xml:space="preserve"> levy allowed for a 2% increase.  This decrease to FY 202</w:t>
      </w:r>
      <w:r w:rsidR="007E59DA" w:rsidRPr="007E59DA">
        <w:rPr>
          <w:szCs w:val="24"/>
        </w:rPr>
        <w:t>2</w:t>
      </w:r>
      <w:r w:rsidR="00CF1965" w:rsidRPr="007E59DA">
        <w:rPr>
          <w:szCs w:val="24"/>
        </w:rPr>
        <w:t>/202</w:t>
      </w:r>
      <w:r w:rsidR="007E59DA" w:rsidRPr="007E59DA">
        <w:rPr>
          <w:szCs w:val="24"/>
        </w:rPr>
        <w:t>3</w:t>
      </w:r>
      <w:r w:rsidR="00CF1965" w:rsidRPr="007E59DA">
        <w:rPr>
          <w:szCs w:val="24"/>
        </w:rPr>
        <w:t xml:space="preserve"> expenditures will be factored into the 202</w:t>
      </w:r>
      <w:r w:rsidR="007E59DA" w:rsidRPr="007E59DA">
        <w:rPr>
          <w:szCs w:val="24"/>
        </w:rPr>
        <w:t>2</w:t>
      </w:r>
      <w:r w:rsidR="00CF1965" w:rsidRPr="007E59DA">
        <w:rPr>
          <w:szCs w:val="24"/>
        </w:rPr>
        <w:t xml:space="preserve"> tax levy</w:t>
      </w:r>
      <w:r w:rsidRPr="007E59DA">
        <w:rPr>
          <w:szCs w:val="24"/>
        </w:rPr>
        <w:t>.</w:t>
      </w:r>
    </w:p>
    <w:p w:rsidR="00BF34E3" w:rsidRPr="007E59DA" w:rsidRDefault="00BF34E3" w:rsidP="004222F5">
      <w:pPr>
        <w:tabs>
          <w:tab w:val="left" w:pos="0"/>
        </w:tabs>
        <w:rPr>
          <w:sz w:val="22"/>
          <w:szCs w:val="24"/>
        </w:rPr>
      </w:pPr>
    </w:p>
    <w:p w:rsidR="004322A8" w:rsidRDefault="000A4FD6">
      <w:pPr>
        <w:rPr>
          <w:sz w:val="24"/>
          <w:szCs w:val="24"/>
        </w:rPr>
      </w:pPr>
      <w:r w:rsidRPr="00FE52BF">
        <w:rPr>
          <w:sz w:val="24"/>
          <w:szCs w:val="24"/>
        </w:rPr>
        <w:t xml:space="preserve">Another </w:t>
      </w:r>
      <w:r w:rsidR="00CC0E23" w:rsidRPr="00FE52BF">
        <w:rPr>
          <w:sz w:val="24"/>
          <w:szCs w:val="24"/>
        </w:rPr>
        <w:t>detail</w:t>
      </w:r>
      <w:r w:rsidRPr="00FE52BF">
        <w:rPr>
          <w:sz w:val="24"/>
          <w:szCs w:val="24"/>
        </w:rPr>
        <w:t xml:space="preserve"> related to actual property tax revenue collections involves the loss factor</w:t>
      </w:r>
      <w:r w:rsidR="00CC0E23" w:rsidRPr="00FE52BF">
        <w:rPr>
          <w:sz w:val="24"/>
          <w:szCs w:val="24"/>
        </w:rPr>
        <w:t>s</w:t>
      </w:r>
      <w:r w:rsidRPr="00FE52BF">
        <w:rPr>
          <w:sz w:val="24"/>
          <w:szCs w:val="24"/>
        </w:rPr>
        <w:t xml:space="preserve"> Cook County adds to the Village’s tax levy to allow for delinquent taxes.  The following chart taken from the Village’s audited financial statements shows the collection level of the extended levy.  </w:t>
      </w:r>
      <w:r w:rsidR="0035064C" w:rsidRPr="00FE52BF">
        <w:rPr>
          <w:sz w:val="24"/>
          <w:szCs w:val="24"/>
        </w:rPr>
        <w:t>The e</w:t>
      </w:r>
      <w:r w:rsidRPr="00FE52BF">
        <w:rPr>
          <w:sz w:val="24"/>
          <w:szCs w:val="24"/>
        </w:rPr>
        <w:t xml:space="preserve">xtended levy equals the original levy plus </w:t>
      </w:r>
      <w:r w:rsidR="00CC0E23" w:rsidRPr="00FE52BF">
        <w:rPr>
          <w:sz w:val="24"/>
          <w:szCs w:val="24"/>
        </w:rPr>
        <w:t xml:space="preserve">either </w:t>
      </w:r>
      <w:r w:rsidRPr="00FE52BF">
        <w:rPr>
          <w:sz w:val="24"/>
          <w:szCs w:val="24"/>
        </w:rPr>
        <w:t xml:space="preserve">a 3% </w:t>
      </w:r>
      <w:r w:rsidR="00CC0E23" w:rsidRPr="00FE52BF">
        <w:rPr>
          <w:sz w:val="24"/>
          <w:szCs w:val="24"/>
        </w:rPr>
        <w:t xml:space="preserve">or 5% </w:t>
      </w:r>
      <w:r w:rsidRPr="00FE52BF">
        <w:rPr>
          <w:sz w:val="24"/>
          <w:szCs w:val="24"/>
        </w:rPr>
        <w:t>loss factor</w:t>
      </w:r>
      <w:r w:rsidR="00CC0E23" w:rsidRPr="00FE52BF">
        <w:rPr>
          <w:sz w:val="24"/>
          <w:szCs w:val="24"/>
        </w:rPr>
        <w:t>, depending on the purpose,</w:t>
      </w:r>
      <w:r w:rsidRPr="00FE52BF">
        <w:rPr>
          <w:sz w:val="24"/>
          <w:szCs w:val="24"/>
        </w:rPr>
        <w:t xml:space="preserve"> for Cook County.  </w:t>
      </w:r>
      <w:r w:rsidR="00AC5BC8" w:rsidRPr="00EB2C72">
        <w:rPr>
          <w:sz w:val="24"/>
          <w:szCs w:val="24"/>
          <w:u w:val="single"/>
        </w:rPr>
        <w:t>The following data is for levy year 20</w:t>
      </w:r>
      <w:r w:rsidR="00290309" w:rsidRPr="00EB2C72">
        <w:rPr>
          <w:sz w:val="24"/>
          <w:szCs w:val="24"/>
          <w:u w:val="single"/>
        </w:rPr>
        <w:t>20</w:t>
      </w:r>
      <w:r w:rsidR="00AC5BC8" w:rsidRPr="00EB2C72">
        <w:rPr>
          <w:sz w:val="24"/>
          <w:szCs w:val="24"/>
          <w:u w:val="single"/>
        </w:rPr>
        <w:t xml:space="preserve"> as the data for the 20</w:t>
      </w:r>
      <w:r w:rsidR="00CF1965" w:rsidRPr="00EB2C72">
        <w:rPr>
          <w:sz w:val="24"/>
          <w:szCs w:val="24"/>
          <w:u w:val="single"/>
        </w:rPr>
        <w:t>2</w:t>
      </w:r>
      <w:r w:rsidR="00290309" w:rsidRPr="00EB2C72">
        <w:rPr>
          <w:sz w:val="24"/>
          <w:szCs w:val="24"/>
          <w:u w:val="single"/>
        </w:rPr>
        <w:t>1</w:t>
      </w:r>
      <w:r w:rsidR="00AC5BC8" w:rsidRPr="00EB2C72">
        <w:rPr>
          <w:sz w:val="24"/>
          <w:szCs w:val="24"/>
          <w:u w:val="single"/>
        </w:rPr>
        <w:t xml:space="preserve"> levy is not </w:t>
      </w:r>
      <w:r w:rsidR="00CF1965" w:rsidRPr="00EB2C72">
        <w:rPr>
          <w:sz w:val="24"/>
          <w:szCs w:val="24"/>
          <w:u w:val="single"/>
        </w:rPr>
        <w:t xml:space="preserve">yet </w:t>
      </w:r>
      <w:r w:rsidR="00AC5BC8" w:rsidRPr="00EB2C72">
        <w:rPr>
          <w:sz w:val="24"/>
          <w:szCs w:val="24"/>
          <w:u w:val="single"/>
        </w:rPr>
        <w:t>available</w:t>
      </w:r>
      <w:r w:rsidR="00CF1965" w:rsidRPr="00EB2C72">
        <w:rPr>
          <w:sz w:val="24"/>
          <w:szCs w:val="24"/>
          <w:u w:val="single"/>
        </w:rPr>
        <w:t>.</w:t>
      </w:r>
      <w:r w:rsidR="00AC5BC8" w:rsidRPr="00EB2C72">
        <w:rPr>
          <w:sz w:val="24"/>
          <w:szCs w:val="24"/>
        </w:rPr>
        <w:t xml:space="preserve">  </w:t>
      </w:r>
    </w:p>
    <w:p w:rsidR="008E452D" w:rsidRPr="00EB2C72" w:rsidRDefault="00D72FE0">
      <w:pPr>
        <w:rPr>
          <w:sz w:val="24"/>
          <w:szCs w:val="24"/>
        </w:rPr>
      </w:pPr>
      <w:r w:rsidRPr="00EB2C72">
        <w:rPr>
          <w:sz w:val="24"/>
          <w:szCs w:val="24"/>
        </w:rPr>
        <w:lastRenderedPageBreak/>
        <w:t>Cook County represent</w:t>
      </w:r>
      <w:r w:rsidR="00AC5BC8" w:rsidRPr="00EB2C72">
        <w:rPr>
          <w:sz w:val="24"/>
          <w:szCs w:val="24"/>
        </w:rPr>
        <w:t>ed</w:t>
      </w:r>
      <w:r w:rsidRPr="00EB2C72">
        <w:rPr>
          <w:sz w:val="24"/>
          <w:szCs w:val="24"/>
        </w:rPr>
        <w:t xml:space="preserve"> </w:t>
      </w:r>
      <w:r w:rsidR="004B6B89" w:rsidRPr="00EB2C72">
        <w:rPr>
          <w:sz w:val="24"/>
          <w:szCs w:val="24"/>
        </w:rPr>
        <w:t>8</w:t>
      </w:r>
      <w:r w:rsidR="00B60C35" w:rsidRPr="00EB2C72">
        <w:rPr>
          <w:sz w:val="24"/>
          <w:szCs w:val="24"/>
        </w:rPr>
        <w:t>5.20</w:t>
      </w:r>
      <w:r w:rsidRPr="00EB2C72">
        <w:rPr>
          <w:sz w:val="24"/>
          <w:szCs w:val="24"/>
        </w:rPr>
        <w:t>% of the Village</w:t>
      </w:r>
      <w:r w:rsidR="007A597E" w:rsidRPr="00EB2C72">
        <w:rPr>
          <w:sz w:val="24"/>
          <w:szCs w:val="24"/>
        </w:rPr>
        <w:t>’s EAV</w:t>
      </w:r>
      <w:r w:rsidR="00C03D4F" w:rsidRPr="00EB2C72">
        <w:rPr>
          <w:sz w:val="24"/>
          <w:szCs w:val="24"/>
        </w:rPr>
        <w:t xml:space="preserve"> and</w:t>
      </w:r>
      <w:r w:rsidRPr="00EB2C72">
        <w:rPr>
          <w:sz w:val="24"/>
          <w:szCs w:val="24"/>
        </w:rPr>
        <w:t xml:space="preserve"> the extended levy is 10</w:t>
      </w:r>
      <w:r w:rsidR="00290309" w:rsidRPr="00EB2C72">
        <w:rPr>
          <w:sz w:val="24"/>
          <w:szCs w:val="24"/>
        </w:rPr>
        <w:t>2.6</w:t>
      </w:r>
      <w:r w:rsidRPr="00EB2C72">
        <w:rPr>
          <w:sz w:val="24"/>
          <w:szCs w:val="24"/>
        </w:rPr>
        <w:t xml:space="preserve">% of the original levy.  If an average of </w:t>
      </w:r>
      <w:r w:rsidR="00543A61" w:rsidRPr="00EB2C72">
        <w:rPr>
          <w:sz w:val="24"/>
          <w:szCs w:val="24"/>
        </w:rPr>
        <w:t>87.8</w:t>
      </w:r>
      <w:r w:rsidRPr="00EB2C72">
        <w:rPr>
          <w:sz w:val="24"/>
          <w:szCs w:val="24"/>
        </w:rPr>
        <w:t xml:space="preserve">% </w:t>
      </w:r>
      <w:r w:rsidR="0026663C" w:rsidRPr="00EB2C72">
        <w:rPr>
          <w:sz w:val="24"/>
          <w:szCs w:val="24"/>
        </w:rPr>
        <w:t xml:space="preserve">(average of </w:t>
      </w:r>
      <w:r w:rsidR="00290309" w:rsidRPr="00EB2C72">
        <w:rPr>
          <w:sz w:val="24"/>
          <w:szCs w:val="24"/>
        </w:rPr>
        <w:t>years 2015 to 2018 as 2019 was impacted by COVID</w:t>
      </w:r>
      <w:r w:rsidR="0026663C" w:rsidRPr="00EB2C72">
        <w:rPr>
          <w:sz w:val="24"/>
          <w:szCs w:val="24"/>
        </w:rPr>
        <w:t xml:space="preserve">) </w:t>
      </w:r>
      <w:r w:rsidRPr="00EB2C72">
        <w:rPr>
          <w:sz w:val="24"/>
          <w:szCs w:val="24"/>
        </w:rPr>
        <w:t>of that amount is collected, that equates to a 9</w:t>
      </w:r>
      <w:r w:rsidR="00543A61" w:rsidRPr="00EB2C72">
        <w:rPr>
          <w:sz w:val="24"/>
          <w:szCs w:val="24"/>
        </w:rPr>
        <w:t>0.</w:t>
      </w:r>
      <w:r w:rsidR="00290309" w:rsidRPr="00EB2C72">
        <w:rPr>
          <w:sz w:val="24"/>
          <w:szCs w:val="24"/>
        </w:rPr>
        <w:t>1</w:t>
      </w:r>
      <w:r w:rsidRPr="00EB2C72">
        <w:rPr>
          <w:sz w:val="24"/>
          <w:szCs w:val="24"/>
        </w:rPr>
        <w:t xml:space="preserve">% </w:t>
      </w:r>
      <w:r w:rsidR="00543A61" w:rsidRPr="00EB2C72">
        <w:rPr>
          <w:sz w:val="24"/>
          <w:szCs w:val="24"/>
        </w:rPr>
        <w:t xml:space="preserve">(87.8% x 103%) </w:t>
      </w:r>
      <w:r w:rsidRPr="00EB2C72">
        <w:rPr>
          <w:sz w:val="24"/>
          <w:szCs w:val="24"/>
        </w:rPr>
        <w:t>collection rate on the levy.</w:t>
      </w:r>
      <w:r w:rsidR="00543A61" w:rsidRPr="00EB2C72">
        <w:rPr>
          <w:sz w:val="24"/>
          <w:szCs w:val="24"/>
        </w:rPr>
        <w:t xml:space="preserve">  As stated earlier, 90% of the levy is</w:t>
      </w:r>
      <w:r w:rsidR="008A400C" w:rsidRPr="00EB2C72">
        <w:rPr>
          <w:sz w:val="24"/>
          <w:szCs w:val="24"/>
        </w:rPr>
        <w:t xml:space="preserve"> budgeted for FY 202</w:t>
      </w:r>
      <w:r w:rsidR="00290309" w:rsidRPr="00EB2C72">
        <w:rPr>
          <w:sz w:val="24"/>
          <w:szCs w:val="24"/>
        </w:rPr>
        <w:t>2</w:t>
      </w:r>
      <w:r w:rsidR="008A400C" w:rsidRPr="00EB2C72">
        <w:rPr>
          <w:sz w:val="24"/>
          <w:szCs w:val="24"/>
        </w:rPr>
        <w:t>/202</w:t>
      </w:r>
      <w:r w:rsidR="00290309" w:rsidRPr="00EB2C72">
        <w:rPr>
          <w:sz w:val="24"/>
          <w:szCs w:val="24"/>
        </w:rPr>
        <w:t>3</w:t>
      </w:r>
      <w:r w:rsidR="008A400C" w:rsidRPr="00EB2C72">
        <w:rPr>
          <w:sz w:val="24"/>
          <w:szCs w:val="24"/>
        </w:rPr>
        <w:t>.</w:t>
      </w:r>
      <w:r w:rsidR="00D14D52" w:rsidRPr="00EB2C72">
        <w:rPr>
          <w:sz w:val="24"/>
          <w:szCs w:val="24"/>
        </w:rPr>
        <w:t xml:space="preserve">  </w:t>
      </w:r>
      <w:r w:rsidR="00F21DE7" w:rsidRPr="00EB2C72">
        <w:rPr>
          <w:sz w:val="24"/>
          <w:szCs w:val="24"/>
        </w:rPr>
        <w:t>Beginning in 2010</w:t>
      </w:r>
      <w:r w:rsidR="0026663C" w:rsidRPr="00EB2C72">
        <w:rPr>
          <w:sz w:val="24"/>
          <w:szCs w:val="24"/>
        </w:rPr>
        <w:t>,</w:t>
      </w:r>
      <w:r w:rsidR="00F21DE7" w:rsidRPr="00EB2C72">
        <w:rPr>
          <w:sz w:val="24"/>
          <w:szCs w:val="24"/>
        </w:rPr>
        <w:t xml:space="preserve"> the first installment of taxes paid equaled 55% of the prior year taxes</w:t>
      </w:r>
      <w:r w:rsidR="00D14D52" w:rsidRPr="00EB2C72">
        <w:rPr>
          <w:sz w:val="24"/>
          <w:szCs w:val="24"/>
        </w:rPr>
        <w:t>.</w:t>
      </w:r>
      <w:r w:rsidR="00F21DE7" w:rsidRPr="00EB2C72">
        <w:rPr>
          <w:sz w:val="24"/>
          <w:szCs w:val="24"/>
        </w:rPr>
        <w:t xml:space="preserve">  This increased from 50% </w:t>
      </w:r>
      <w:r w:rsidR="003F0EB4" w:rsidRPr="00EB2C72">
        <w:rPr>
          <w:sz w:val="24"/>
          <w:szCs w:val="24"/>
        </w:rPr>
        <w:t>in</w:t>
      </w:r>
      <w:r w:rsidR="00F21DE7" w:rsidRPr="00EB2C72">
        <w:rPr>
          <w:sz w:val="24"/>
          <w:szCs w:val="24"/>
        </w:rPr>
        <w:t xml:space="preserve"> prior year</w:t>
      </w:r>
      <w:r w:rsidR="003F0EB4" w:rsidRPr="00EB2C72">
        <w:rPr>
          <w:sz w:val="24"/>
          <w:szCs w:val="24"/>
        </w:rPr>
        <w:t>s</w:t>
      </w:r>
      <w:r w:rsidR="00F21DE7" w:rsidRPr="00EB2C72">
        <w:rPr>
          <w:sz w:val="24"/>
          <w:szCs w:val="24"/>
        </w:rPr>
        <w:t xml:space="preserve">. </w:t>
      </w:r>
    </w:p>
    <w:p w:rsidR="00C40233" w:rsidRDefault="00C40233">
      <w:pPr>
        <w:rPr>
          <w:sz w:val="24"/>
          <w:szCs w:val="24"/>
        </w:rPr>
      </w:pPr>
    </w:p>
    <w:p w:rsidR="00091629" w:rsidRPr="00EB2C72" w:rsidRDefault="00091629">
      <w:pPr>
        <w:rPr>
          <w:sz w:val="24"/>
          <w:szCs w:val="24"/>
        </w:rPr>
      </w:pPr>
    </w:p>
    <w:tbl>
      <w:tblPr>
        <w:tblW w:w="0" w:type="auto"/>
        <w:jc w:val="center"/>
        <w:tblBorders>
          <w:insideH w:val="single" w:sz="6" w:space="0" w:color="000000"/>
          <w:insideV w:val="single" w:sz="6" w:space="0" w:color="000000"/>
        </w:tblBorders>
        <w:tblLook w:val="0020" w:firstRow="1" w:lastRow="0" w:firstColumn="0" w:lastColumn="0" w:noHBand="0" w:noVBand="0"/>
      </w:tblPr>
      <w:tblGrid>
        <w:gridCol w:w="1656"/>
        <w:gridCol w:w="3668"/>
      </w:tblGrid>
      <w:tr w:rsidR="00D72FE0" w:rsidRPr="00EB2C72">
        <w:trPr>
          <w:trHeight w:val="317"/>
          <w:jc w:val="center"/>
        </w:trPr>
        <w:tc>
          <w:tcPr>
            <w:tcW w:w="0" w:type="auto"/>
            <w:shd w:val="clear" w:color="auto" w:fill="auto"/>
          </w:tcPr>
          <w:p w:rsidR="00D72FE0" w:rsidRPr="00EB2C72" w:rsidRDefault="00D72FE0" w:rsidP="00422832">
            <w:pPr>
              <w:jc w:val="center"/>
              <w:rPr>
                <w:b/>
                <w:bCs/>
                <w:i/>
                <w:sz w:val="24"/>
                <w:szCs w:val="24"/>
              </w:rPr>
            </w:pPr>
            <w:r w:rsidRPr="00EB2C72">
              <w:rPr>
                <w:b/>
                <w:bCs/>
                <w:i/>
                <w:sz w:val="24"/>
                <w:szCs w:val="24"/>
              </w:rPr>
              <w:t>Tax Levy</w:t>
            </w:r>
            <w:r w:rsidR="00F4029E" w:rsidRPr="00EB2C72">
              <w:rPr>
                <w:b/>
                <w:bCs/>
                <w:i/>
                <w:sz w:val="24"/>
                <w:szCs w:val="24"/>
              </w:rPr>
              <w:t xml:space="preserve"> Year</w:t>
            </w:r>
          </w:p>
        </w:tc>
        <w:tc>
          <w:tcPr>
            <w:tcW w:w="0" w:type="auto"/>
            <w:shd w:val="clear" w:color="auto" w:fill="auto"/>
          </w:tcPr>
          <w:p w:rsidR="00D72FE0" w:rsidRPr="00EB2C72" w:rsidRDefault="00D72FE0" w:rsidP="00422832">
            <w:pPr>
              <w:jc w:val="center"/>
              <w:rPr>
                <w:b/>
                <w:bCs/>
                <w:i/>
                <w:sz w:val="24"/>
                <w:szCs w:val="24"/>
                <w:u w:val="single"/>
              </w:rPr>
            </w:pPr>
            <w:r w:rsidRPr="00EB2C72">
              <w:rPr>
                <w:b/>
                <w:bCs/>
                <w:i/>
                <w:sz w:val="24"/>
                <w:szCs w:val="24"/>
              </w:rPr>
              <w:t>Total Percentage of Levy</w:t>
            </w:r>
            <w:r w:rsidR="004B3871" w:rsidRPr="00EB2C72">
              <w:rPr>
                <w:b/>
                <w:bCs/>
                <w:i/>
                <w:sz w:val="24"/>
                <w:szCs w:val="24"/>
              </w:rPr>
              <w:t xml:space="preserve"> </w:t>
            </w:r>
            <w:r w:rsidRPr="00EB2C72">
              <w:rPr>
                <w:b/>
                <w:bCs/>
                <w:i/>
                <w:sz w:val="24"/>
                <w:szCs w:val="24"/>
              </w:rPr>
              <w:t>Collected</w:t>
            </w:r>
          </w:p>
        </w:tc>
      </w:tr>
      <w:tr w:rsidR="002475B4" w:rsidRPr="00EB2C72">
        <w:trPr>
          <w:jc w:val="center"/>
        </w:trPr>
        <w:tc>
          <w:tcPr>
            <w:tcW w:w="0" w:type="auto"/>
            <w:shd w:val="clear" w:color="auto" w:fill="auto"/>
          </w:tcPr>
          <w:p w:rsidR="002475B4" w:rsidRPr="00EB2C72" w:rsidRDefault="002475B4" w:rsidP="001A7A15">
            <w:pPr>
              <w:jc w:val="center"/>
              <w:rPr>
                <w:sz w:val="24"/>
                <w:szCs w:val="24"/>
              </w:rPr>
            </w:pPr>
            <w:r w:rsidRPr="00EB2C72">
              <w:rPr>
                <w:sz w:val="24"/>
                <w:szCs w:val="24"/>
              </w:rPr>
              <w:t>2010</w:t>
            </w:r>
          </w:p>
        </w:tc>
        <w:tc>
          <w:tcPr>
            <w:tcW w:w="0" w:type="auto"/>
            <w:shd w:val="clear" w:color="auto" w:fill="auto"/>
          </w:tcPr>
          <w:p w:rsidR="002475B4" w:rsidRPr="00EB2C72" w:rsidRDefault="002475B4" w:rsidP="00FA4E19">
            <w:pPr>
              <w:jc w:val="center"/>
              <w:rPr>
                <w:sz w:val="24"/>
                <w:szCs w:val="24"/>
              </w:rPr>
            </w:pPr>
            <w:r w:rsidRPr="00EB2C72">
              <w:rPr>
                <w:sz w:val="24"/>
                <w:szCs w:val="24"/>
              </w:rPr>
              <w:t>94.22%</w:t>
            </w:r>
          </w:p>
        </w:tc>
      </w:tr>
      <w:tr w:rsidR="0092078D" w:rsidRPr="00EB2C72">
        <w:trPr>
          <w:jc w:val="center"/>
        </w:trPr>
        <w:tc>
          <w:tcPr>
            <w:tcW w:w="0" w:type="auto"/>
            <w:shd w:val="clear" w:color="auto" w:fill="auto"/>
          </w:tcPr>
          <w:p w:rsidR="0092078D" w:rsidRPr="00EB2C72" w:rsidRDefault="0092078D" w:rsidP="001A7A15">
            <w:pPr>
              <w:jc w:val="center"/>
              <w:rPr>
                <w:sz w:val="24"/>
                <w:szCs w:val="24"/>
              </w:rPr>
            </w:pPr>
            <w:r w:rsidRPr="00EB2C72">
              <w:rPr>
                <w:sz w:val="24"/>
                <w:szCs w:val="24"/>
              </w:rPr>
              <w:t>2011</w:t>
            </w:r>
          </w:p>
        </w:tc>
        <w:tc>
          <w:tcPr>
            <w:tcW w:w="0" w:type="auto"/>
            <w:shd w:val="clear" w:color="auto" w:fill="auto"/>
          </w:tcPr>
          <w:p w:rsidR="0092078D" w:rsidRPr="00EB2C72" w:rsidRDefault="0092078D" w:rsidP="00FA4E19">
            <w:pPr>
              <w:jc w:val="center"/>
              <w:rPr>
                <w:sz w:val="24"/>
                <w:szCs w:val="24"/>
              </w:rPr>
            </w:pPr>
            <w:r w:rsidRPr="00EB2C72">
              <w:rPr>
                <w:sz w:val="24"/>
                <w:szCs w:val="24"/>
              </w:rPr>
              <w:t>94.33%</w:t>
            </w:r>
          </w:p>
        </w:tc>
      </w:tr>
      <w:tr w:rsidR="00A20C4C" w:rsidRPr="00EB2C72">
        <w:trPr>
          <w:jc w:val="center"/>
        </w:trPr>
        <w:tc>
          <w:tcPr>
            <w:tcW w:w="0" w:type="auto"/>
            <w:shd w:val="clear" w:color="auto" w:fill="auto"/>
          </w:tcPr>
          <w:p w:rsidR="00A20C4C" w:rsidRPr="00EB2C72" w:rsidRDefault="00A20C4C" w:rsidP="001A7A15">
            <w:pPr>
              <w:jc w:val="center"/>
              <w:rPr>
                <w:sz w:val="24"/>
                <w:szCs w:val="24"/>
              </w:rPr>
            </w:pPr>
            <w:r w:rsidRPr="00EB2C72">
              <w:rPr>
                <w:sz w:val="24"/>
                <w:szCs w:val="24"/>
              </w:rPr>
              <w:t>2012</w:t>
            </w:r>
          </w:p>
        </w:tc>
        <w:tc>
          <w:tcPr>
            <w:tcW w:w="0" w:type="auto"/>
            <w:shd w:val="clear" w:color="auto" w:fill="auto"/>
          </w:tcPr>
          <w:p w:rsidR="00A20C4C" w:rsidRPr="00EB2C72" w:rsidRDefault="00A20C4C" w:rsidP="004D0B7F">
            <w:pPr>
              <w:jc w:val="center"/>
              <w:rPr>
                <w:sz w:val="24"/>
                <w:szCs w:val="24"/>
              </w:rPr>
            </w:pPr>
            <w:r w:rsidRPr="00EB2C72">
              <w:rPr>
                <w:sz w:val="24"/>
                <w:szCs w:val="24"/>
              </w:rPr>
              <w:t>9</w:t>
            </w:r>
            <w:r w:rsidR="004D0B7F" w:rsidRPr="00EB2C72">
              <w:rPr>
                <w:sz w:val="24"/>
                <w:szCs w:val="24"/>
              </w:rPr>
              <w:t>0.84</w:t>
            </w:r>
            <w:r w:rsidRPr="00EB2C72">
              <w:rPr>
                <w:sz w:val="24"/>
                <w:szCs w:val="24"/>
              </w:rPr>
              <w:t>%</w:t>
            </w:r>
          </w:p>
        </w:tc>
      </w:tr>
      <w:tr w:rsidR="006922D7" w:rsidRPr="00EB2C72">
        <w:trPr>
          <w:jc w:val="center"/>
        </w:trPr>
        <w:tc>
          <w:tcPr>
            <w:tcW w:w="0" w:type="auto"/>
            <w:shd w:val="clear" w:color="auto" w:fill="auto"/>
          </w:tcPr>
          <w:p w:rsidR="006922D7" w:rsidRPr="00EB2C72" w:rsidRDefault="006922D7" w:rsidP="001A7A15">
            <w:pPr>
              <w:jc w:val="center"/>
              <w:rPr>
                <w:sz w:val="24"/>
                <w:szCs w:val="24"/>
              </w:rPr>
            </w:pPr>
            <w:r w:rsidRPr="00EB2C72">
              <w:rPr>
                <w:sz w:val="24"/>
                <w:szCs w:val="24"/>
              </w:rPr>
              <w:t>2013</w:t>
            </w:r>
          </w:p>
        </w:tc>
        <w:tc>
          <w:tcPr>
            <w:tcW w:w="0" w:type="auto"/>
            <w:shd w:val="clear" w:color="auto" w:fill="auto"/>
          </w:tcPr>
          <w:p w:rsidR="006922D7" w:rsidRPr="00EB2C72" w:rsidRDefault="004D0B7F" w:rsidP="004D0B7F">
            <w:pPr>
              <w:jc w:val="center"/>
              <w:rPr>
                <w:sz w:val="24"/>
                <w:szCs w:val="24"/>
              </w:rPr>
            </w:pPr>
            <w:r w:rsidRPr="00EB2C72">
              <w:rPr>
                <w:sz w:val="24"/>
                <w:szCs w:val="24"/>
              </w:rPr>
              <w:t>89.26%</w:t>
            </w:r>
          </w:p>
        </w:tc>
      </w:tr>
      <w:tr w:rsidR="00C40233" w:rsidRPr="00EB2C72">
        <w:trPr>
          <w:jc w:val="center"/>
        </w:trPr>
        <w:tc>
          <w:tcPr>
            <w:tcW w:w="0" w:type="auto"/>
            <w:shd w:val="clear" w:color="auto" w:fill="auto"/>
          </w:tcPr>
          <w:p w:rsidR="00C40233" w:rsidRPr="00EB2C72" w:rsidRDefault="00C40233" w:rsidP="001A7A15">
            <w:pPr>
              <w:jc w:val="center"/>
              <w:rPr>
                <w:sz w:val="24"/>
                <w:szCs w:val="24"/>
              </w:rPr>
            </w:pPr>
            <w:r w:rsidRPr="00EB2C72">
              <w:rPr>
                <w:sz w:val="24"/>
                <w:szCs w:val="24"/>
              </w:rPr>
              <w:t>2014</w:t>
            </w:r>
          </w:p>
        </w:tc>
        <w:tc>
          <w:tcPr>
            <w:tcW w:w="0" w:type="auto"/>
            <w:shd w:val="clear" w:color="auto" w:fill="auto"/>
          </w:tcPr>
          <w:p w:rsidR="00C40233" w:rsidRPr="00EB2C72" w:rsidRDefault="004D0B7F" w:rsidP="004D0B7F">
            <w:pPr>
              <w:jc w:val="center"/>
              <w:rPr>
                <w:sz w:val="24"/>
                <w:szCs w:val="24"/>
              </w:rPr>
            </w:pPr>
            <w:r w:rsidRPr="00EB2C72">
              <w:rPr>
                <w:sz w:val="24"/>
                <w:szCs w:val="24"/>
              </w:rPr>
              <w:t>87.19</w:t>
            </w:r>
            <w:r w:rsidR="00C40233" w:rsidRPr="00EB2C72">
              <w:rPr>
                <w:sz w:val="24"/>
                <w:szCs w:val="24"/>
              </w:rPr>
              <w:t>%</w:t>
            </w:r>
          </w:p>
        </w:tc>
      </w:tr>
      <w:tr w:rsidR="009C7120" w:rsidRPr="00EB2C72">
        <w:trPr>
          <w:jc w:val="center"/>
        </w:trPr>
        <w:tc>
          <w:tcPr>
            <w:tcW w:w="0" w:type="auto"/>
            <w:shd w:val="clear" w:color="auto" w:fill="auto"/>
          </w:tcPr>
          <w:p w:rsidR="009C7120" w:rsidRPr="00EB2C72" w:rsidRDefault="009C7120" w:rsidP="001A7A15">
            <w:pPr>
              <w:jc w:val="center"/>
              <w:rPr>
                <w:sz w:val="24"/>
                <w:szCs w:val="24"/>
              </w:rPr>
            </w:pPr>
            <w:r w:rsidRPr="00EB2C72">
              <w:rPr>
                <w:sz w:val="24"/>
                <w:szCs w:val="24"/>
              </w:rPr>
              <w:t>2015</w:t>
            </w:r>
          </w:p>
        </w:tc>
        <w:tc>
          <w:tcPr>
            <w:tcW w:w="0" w:type="auto"/>
            <w:shd w:val="clear" w:color="auto" w:fill="auto"/>
          </w:tcPr>
          <w:p w:rsidR="009C7120" w:rsidRPr="00EB2C72" w:rsidRDefault="004D0B7F" w:rsidP="004D0B7F">
            <w:pPr>
              <w:jc w:val="center"/>
              <w:rPr>
                <w:sz w:val="24"/>
                <w:szCs w:val="24"/>
              </w:rPr>
            </w:pPr>
            <w:r w:rsidRPr="00EB2C72">
              <w:rPr>
                <w:sz w:val="24"/>
                <w:szCs w:val="24"/>
              </w:rPr>
              <w:t>87.29</w:t>
            </w:r>
            <w:r w:rsidR="0026663C" w:rsidRPr="00EB2C72">
              <w:rPr>
                <w:sz w:val="24"/>
                <w:szCs w:val="24"/>
              </w:rPr>
              <w:t>%</w:t>
            </w:r>
          </w:p>
        </w:tc>
      </w:tr>
      <w:tr w:rsidR="002231C9" w:rsidRPr="00EB2C72">
        <w:trPr>
          <w:jc w:val="center"/>
        </w:trPr>
        <w:tc>
          <w:tcPr>
            <w:tcW w:w="0" w:type="auto"/>
            <w:shd w:val="clear" w:color="auto" w:fill="auto"/>
          </w:tcPr>
          <w:p w:rsidR="002231C9" w:rsidRPr="00EB2C72" w:rsidRDefault="002231C9" w:rsidP="001A7A15">
            <w:pPr>
              <w:jc w:val="center"/>
              <w:rPr>
                <w:sz w:val="24"/>
                <w:szCs w:val="24"/>
              </w:rPr>
            </w:pPr>
            <w:r w:rsidRPr="00EB2C72">
              <w:rPr>
                <w:sz w:val="24"/>
                <w:szCs w:val="24"/>
              </w:rPr>
              <w:t>2016</w:t>
            </w:r>
          </w:p>
        </w:tc>
        <w:tc>
          <w:tcPr>
            <w:tcW w:w="0" w:type="auto"/>
            <w:shd w:val="clear" w:color="auto" w:fill="auto"/>
          </w:tcPr>
          <w:p w:rsidR="002231C9" w:rsidRPr="00EB2C72" w:rsidRDefault="00764C96" w:rsidP="004D0B7F">
            <w:pPr>
              <w:jc w:val="center"/>
              <w:rPr>
                <w:sz w:val="24"/>
                <w:szCs w:val="24"/>
              </w:rPr>
            </w:pPr>
            <w:r w:rsidRPr="00EB2C72">
              <w:rPr>
                <w:sz w:val="24"/>
                <w:szCs w:val="24"/>
              </w:rPr>
              <w:t>8</w:t>
            </w:r>
            <w:r w:rsidR="004D0B7F" w:rsidRPr="00EB2C72">
              <w:rPr>
                <w:sz w:val="24"/>
                <w:szCs w:val="24"/>
              </w:rPr>
              <w:t>8.23</w:t>
            </w:r>
            <w:r w:rsidRPr="00EB2C72">
              <w:rPr>
                <w:sz w:val="24"/>
                <w:szCs w:val="24"/>
              </w:rPr>
              <w:t>%</w:t>
            </w:r>
          </w:p>
        </w:tc>
      </w:tr>
      <w:tr w:rsidR="0047269A" w:rsidRPr="00EB2C72">
        <w:trPr>
          <w:jc w:val="center"/>
        </w:trPr>
        <w:tc>
          <w:tcPr>
            <w:tcW w:w="0" w:type="auto"/>
            <w:shd w:val="clear" w:color="auto" w:fill="auto"/>
          </w:tcPr>
          <w:p w:rsidR="0047269A" w:rsidRPr="00EB2C72" w:rsidRDefault="0047269A" w:rsidP="001A7A15">
            <w:pPr>
              <w:jc w:val="center"/>
              <w:rPr>
                <w:sz w:val="24"/>
                <w:szCs w:val="24"/>
              </w:rPr>
            </w:pPr>
            <w:r w:rsidRPr="00EB2C72">
              <w:rPr>
                <w:sz w:val="24"/>
                <w:szCs w:val="24"/>
              </w:rPr>
              <w:t>2017</w:t>
            </w:r>
          </w:p>
        </w:tc>
        <w:tc>
          <w:tcPr>
            <w:tcW w:w="0" w:type="auto"/>
            <w:shd w:val="clear" w:color="auto" w:fill="auto"/>
          </w:tcPr>
          <w:p w:rsidR="0047269A" w:rsidRPr="00EB2C72" w:rsidRDefault="00161898" w:rsidP="004D0B7F">
            <w:pPr>
              <w:jc w:val="center"/>
              <w:rPr>
                <w:sz w:val="24"/>
                <w:szCs w:val="24"/>
              </w:rPr>
            </w:pPr>
            <w:r w:rsidRPr="00EB2C72">
              <w:rPr>
                <w:sz w:val="24"/>
                <w:szCs w:val="24"/>
              </w:rPr>
              <w:t>8</w:t>
            </w:r>
            <w:r w:rsidR="004D0B7F" w:rsidRPr="00EB2C72">
              <w:rPr>
                <w:sz w:val="24"/>
                <w:szCs w:val="24"/>
              </w:rPr>
              <w:t>7</w:t>
            </w:r>
            <w:r w:rsidRPr="00EB2C72">
              <w:rPr>
                <w:sz w:val="24"/>
                <w:szCs w:val="24"/>
              </w:rPr>
              <w:t>.</w:t>
            </w:r>
            <w:r w:rsidR="004D0B7F" w:rsidRPr="00EB2C72">
              <w:rPr>
                <w:sz w:val="24"/>
                <w:szCs w:val="24"/>
              </w:rPr>
              <w:t>95</w:t>
            </w:r>
            <w:r w:rsidRPr="00EB2C72">
              <w:rPr>
                <w:sz w:val="24"/>
                <w:szCs w:val="24"/>
              </w:rPr>
              <w:t>%</w:t>
            </w:r>
          </w:p>
        </w:tc>
      </w:tr>
      <w:tr w:rsidR="004D0B7F" w:rsidRPr="00EB2C72">
        <w:trPr>
          <w:jc w:val="center"/>
        </w:trPr>
        <w:tc>
          <w:tcPr>
            <w:tcW w:w="0" w:type="auto"/>
            <w:shd w:val="clear" w:color="auto" w:fill="auto"/>
          </w:tcPr>
          <w:p w:rsidR="004D0B7F" w:rsidRPr="00EB2C72" w:rsidRDefault="004D0B7F" w:rsidP="001A7A15">
            <w:pPr>
              <w:jc w:val="center"/>
              <w:rPr>
                <w:sz w:val="24"/>
                <w:szCs w:val="24"/>
              </w:rPr>
            </w:pPr>
            <w:r w:rsidRPr="00EB2C72">
              <w:rPr>
                <w:sz w:val="24"/>
                <w:szCs w:val="24"/>
              </w:rPr>
              <w:t>2018</w:t>
            </w:r>
          </w:p>
        </w:tc>
        <w:tc>
          <w:tcPr>
            <w:tcW w:w="0" w:type="auto"/>
            <w:shd w:val="clear" w:color="auto" w:fill="auto"/>
          </w:tcPr>
          <w:p w:rsidR="004D0B7F" w:rsidRPr="00EB2C72" w:rsidRDefault="004D0B7F" w:rsidP="0038169D">
            <w:pPr>
              <w:jc w:val="center"/>
              <w:rPr>
                <w:sz w:val="24"/>
                <w:szCs w:val="24"/>
              </w:rPr>
            </w:pPr>
            <w:r w:rsidRPr="00EB2C72">
              <w:rPr>
                <w:sz w:val="24"/>
                <w:szCs w:val="24"/>
              </w:rPr>
              <w:t>87.59%</w:t>
            </w:r>
          </w:p>
        </w:tc>
      </w:tr>
      <w:tr w:rsidR="00290309" w:rsidRPr="00EB2C72">
        <w:trPr>
          <w:jc w:val="center"/>
        </w:trPr>
        <w:tc>
          <w:tcPr>
            <w:tcW w:w="0" w:type="auto"/>
            <w:shd w:val="clear" w:color="auto" w:fill="auto"/>
          </w:tcPr>
          <w:p w:rsidR="00290309" w:rsidRPr="00EB2C72" w:rsidRDefault="00290309" w:rsidP="001A7A15">
            <w:pPr>
              <w:jc w:val="center"/>
              <w:rPr>
                <w:sz w:val="24"/>
                <w:szCs w:val="24"/>
              </w:rPr>
            </w:pPr>
            <w:r w:rsidRPr="00EB2C72">
              <w:rPr>
                <w:sz w:val="24"/>
                <w:szCs w:val="24"/>
              </w:rPr>
              <w:t>2019</w:t>
            </w:r>
          </w:p>
        </w:tc>
        <w:tc>
          <w:tcPr>
            <w:tcW w:w="0" w:type="auto"/>
            <w:shd w:val="clear" w:color="auto" w:fill="auto"/>
          </w:tcPr>
          <w:p w:rsidR="00290309" w:rsidRPr="00EB2C72" w:rsidRDefault="00290309" w:rsidP="0038169D">
            <w:pPr>
              <w:jc w:val="center"/>
              <w:rPr>
                <w:sz w:val="24"/>
                <w:szCs w:val="24"/>
              </w:rPr>
            </w:pPr>
            <w:r w:rsidRPr="00EB2C72">
              <w:rPr>
                <w:sz w:val="24"/>
                <w:szCs w:val="24"/>
              </w:rPr>
              <w:t>82.52%*</w:t>
            </w:r>
          </w:p>
        </w:tc>
      </w:tr>
    </w:tbl>
    <w:p w:rsidR="00140F13" w:rsidRPr="009623A7" w:rsidRDefault="00290309" w:rsidP="00290309">
      <w:pPr>
        <w:rPr>
          <w:sz w:val="22"/>
          <w:szCs w:val="22"/>
        </w:rPr>
      </w:pPr>
      <w:r w:rsidRPr="00EB2C72">
        <w:tab/>
      </w:r>
      <w:r w:rsidRPr="00EB2C72">
        <w:tab/>
        <w:t xml:space="preserve">     </w:t>
      </w:r>
      <w:r w:rsidRPr="009623A7">
        <w:rPr>
          <w:sz w:val="22"/>
          <w:szCs w:val="22"/>
        </w:rPr>
        <w:t>* - collections impacted by COVID-19</w:t>
      </w:r>
    </w:p>
    <w:p w:rsidR="00C40233" w:rsidRDefault="00C40233">
      <w:pPr>
        <w:rPr>
          <w:sz w:val="24"/>
          <w:szCs w:val="16"/>
        </w:rPr>
      </w:pPr>
    </w:p>
    <w:p w:rsidR="00091629" w:rsidRPr="00EB2C72" w:rsidRDefault="00091629">
      <w:pPr>
        <w:rPr>
          <w:sz w:val="24"/>
          <w:szCs w:val="16"/>
        </w:rPr>
      </w:pPr>
    </w:p>
    <w:p w:rsidR="006B0777" w:rsidRPr="00EB2C72" w:rsidRDefault="00B62CA0">
      <w:pPr>
        <w:rPr>
          <w:sz w:val="24"/>
          <w:szCs w:val="24"/>
        </w:rPr>
      </w:pPr>
      <w:r w:rsidRPr="00EB2C72">
        <w:rPr>
          <w:sz w:val="24"/>
          <w:szCs w:val="24"/>
        </w:rPr>
        <w:t>Following</w:t>
      </w:r>
      <w:r w:rsidR="00BF34E3" w:rsidRPr="00EB2C72">
        <w:rPr>
          <w:sz w:val="24"/>
          <w:szCs w:val="24"/>
        </w:rPr>
        <w:t xml:space="preserve"> is </w:t>
      </w:r>
      <w:r w:rsidR="001148B5" w:rsidRPr="00EB2C72">
        <w:rPr>
          <w:sz w:val="24"/>
          <w:szCs w:val="24"/>
        </w:rPr>
        <w:t xml:space="preserve">a </w:t>
      </w:r>
      <w:r w:rsidR="00161898" w:rsidRPr="00EB2C72">
        <w:rPr>
          <w:sz w:val="24"/>
          <w:szCs w:val="24"/>
        </w:rPr>
        <w:t>t</w:t>
      </w:r>
      <w:r w:rsidR="006F06BE" w:rsidRPr="00EB2C72">
        <w:rPr>
          <w:sz w:val="24"/>
          <w:szCs w:val="24"/>
        </w:rPr>
        <w:t>en</w:t>
      </w:r>
      <w:r w:rsidR="00161898" w:rsidRPr="00EB2C72">
        <w:rPr>
          <w:sz w:val="24"/>
          <w:szCs w:val="24"/>
        </w:rPr>
        <w:t>-</w:t>
      </w:r>
      <w:r w:rsidR="00AC65B6" w:rsidRPr="00EB2C72">
        <w:rPr>
          <w:sz w:val="24"/>
          <w:szCs w:val="24"/>
        </w:rPr>
        <w:t>year</w:t>
      </w:r>
      <w:r w:rsidR="00BF34E3" w:rsidRPr="00EB2C72">
        <w:rPr>
          <w:sz w:val="24"/>
          <w:szCs w:val="24"/>
        </w:rPr>
        <w:t xml:space="preserve"> comparison of tax rate changes.  The rates reflect the combined changes in the Village’s assessed valuation and increases in the tax levy.</w:t>
      </w:r>
    </w:p>
    <w:p w:rsidR="00C67EF1" w:rsidRDefault="00C67EF1">
      <w:pPr>
        <w:rPr>
          <w:sz w:val="24"/>
          <w:szCs w:val="24"/>
        </w:rPr>
      </w:pPr>
    </w:p>
    <w:p w:rsidR="00091629" w:rsidRPr="00EB2C72" w:rsidRDefault="00091629">
      <w:pPr>
        <w:rPr>
          <w:sz w:val="24"/>
          <w:szCs w:val="24"/>
        </w:rPr>
      </w:pPr>
    </w:p>
    <w:tbl>
      <w:tblPr>
        <w:tblW w:w="0" w:type="auto"/>
        <w:jc w:val="center"/>
        <w:tblBorders>
          <w:insideH w:val="single" w:sz="6" w:space="0" w:color="000000"/>
          <w:insideV w:val="single" w:sz="6" w:space="0" w:color="000000"/>
        </w:tblBorders>
        <w:tblLayout w:type="fixed"/>
        <w:tblLook w:val="0000" w:firstRow="0" w:lastRow="0" w:firstColumn="0" w:lastColumn="0" w:noHBand="0" w:noVBand="0"/>
      </w:tblPr>
      <w:tblGrid>
        <w:gridCol w:w="1805"/>
        <w:gridCol w:w="1805"/>
        <w:gridCol w:w="1790"/>
      </w:tblGrid>
      <w:tr w:rsidR="00BF34E3" w:rsidRPr="006828AB">
        <w:trPr>
          <w:trHeight w:val="312"/>
          <w:jc w:val="center"/>
        </w:trPr>
        <w:tc>
          <w:tcPr>
            <w:tcW w:w="5400" w:type="dxa"/>
            <w:gridSpan w:val="3"/>
            <w:shd w:val="clear" w:color="auto" w:fill="auto"/>
          </w:tcPr>
          <w:p w:rsidR="00BF34E3" w:rsidRPr="00EB2C72" w:rsidRDefault="00BF34E3" w:rsidP="00422832">
            <w:pPr>
              <w:jc w:val="center"/>
              <w:rPr>
                <w:b/>
                <w:color w:val="000000"/>
                <w:sz w:val="24"/>
                <w:szCs w:val="24"/>
              </w:rPr>
            </w:pPr>
            <w:r w:rsidRPr="00EB2C72">
              <w:rPr>
                <w:b/>
                <w:color w:val="000000"/>
                <w:sz w:val="24"/>
                <w:szCs w:val="24"/>
              </w:rPr>
              <w:t>Municipal Tax Rate Comparison</w:t>
            </w:r>
          </w:p>
        </w:tc>
      </w:tr>
      <w:tr w:rsidR="00BF34E3" w:rsidRPr="006828AB">
        <w:trPr>
          <w:trHeight w:val="312"/>
          <w:jc w:val="center"/>
        </w:trPr>
        <w:tc>
          <w:tcPr>
            <w:tcW w:w="1805" w:type="dxa"/>
            <w:shd w:val="clear" w:color="auto" w:fill="auto"/>
          </w:tcPr>
          <w:p w:rsidR="00BF34E3" w:rsidRPr="00EB2C72" w:rsidRDefault="00BF34E3" w:rsidP="00422832">
            <w:pPr>
              <w:jc w:val="center"/>
              <w:rPr>
                <w:b/>
                <w:i/>
                <w:color w:val="000000"/>
                <w:sz w:val="24"/>
                <w:szCs w:val="24"/>
                <w:u w:val="single"/>
              </w:rPr>
            </w:pPr>
            <w:r w:rsidRPr="00EB2C72">
              <w:rPr>
                <w:b/>
                <w:i/>
                <w:color w:val="000000"/>
                <w:sz w:val="24"/>
                <w:szCs w:val="24"/>
                <w:u w:val="single"/>
              </w:rPr>
              <w:t xml:space="preserve">Year </w:t>
            </w:r>
          </w:p>
        </w:tc>
        <w:tc>
          <w:tcPr>
            <w:tcW w:w="1805" w:type="dxa"/>
            <w:shd w:val="clear" w:color="auto" w:fill="auto"/>
          </w:tcPr>
          <w:p w:rsidR="00BF34E3" w:rsidRPr="00EB2C72" w:rsidRDefault="00BF34E3" w:rsidP="00422832">
            <w:pPr>
              <w:jc w:val="center"/>
              <w:rPr>
                <w:b/>
                <w:i/>
                <w:color w:val="000000"/>
                <w:sz w:val="24"/>
                <w:szCs w:val="24"/>
                <w:u w:val="single"/>
              </w:rPr>
            </w:pPr>
            <w:r w:rsidRPr="00EB2C72">
              <w:rPr>
                <w:b/>
                <w:i/>
                <w:color w:val="000000"/>
                <w:sz w:val="24"/>
                <w:szCs w:val="24"/>
                <w:u w:val="single"/>
              </w:rPr>
              <w:t>Tax Rate</w:t>
            </w:r>
          </w:p>
        </w:tc>
        <w:tc>
          <w:tcPr>
            <w:tcW w:w="1790" w:type="dxa"/>
            <w:shd w:val="clear" w:color="auto" w:fill="auto"/>
          </w:tcPr>
          <w:p w:rsidR="00BF34E3" w:rsidRPr="00EB2C72" w:rsidRDefault="00BF34E3" w:rsidP="00422832">
            <w:pPr>
              <w:jc w:val="center"/>
              <w:rPr>
                <w:b/>
                <w:i/>
                <w:color w:val="000000"/>
                <w:sz w:val="24"/>
                <w:szCs w:val="24"/>
                <w:u w:val="single"/>
              </w:rPr>
            </w:pPr>
            <w:r w:rsidRPr="00EB2C72">
              <w:rPr>
                <w:b/>
                <w:i/>
                <w:color w:val="000000"/>
                <w:sz w:val="24"/>
                <w:szCs w:val="24"/>
                <w:u w:val="single"/>
              </w:rPr>
              <w:t>% Change</w:t>
            </w:r>
          </w:p>
        </w:tc>
      </w:tr>
      <w:tr w:rsidR="00C14729" w:rsidRPr="006828AB">
        <w:trPr>
          <w:trHeight w:val="312"/>
          <w:jc w:val="center"/>
        </w:trPr>
        <w:tc>
          <w:tcPr>
            <w:tcW w:w="1805" w:type="dxa"/>
            <w:shd w:val="clear" w:color="auto" w:fill="auto"/>
          </w:tcPr>
          <w:p w:rsidR="00C14729" w:rsidRPr="00EB2C72" w:rsidRDefault="00C14729" w:rsidP="00530B93">
            <w:pPr>
              <w:jc w:val="center"/>
              <w:rPr>
                <w:sz w:val="24"/>
                <w:szCs w:val="24"/>
              </w:rPr>
            </w:pPr>
            <w:r w:rsidRPr="00EB2C72">
              <w:rPr>
                <w:sz w:val="24"/>
                <w:szCs w:val="24"/>
              </w:rPr>
              <w:t>2011</w:t>
            </w:r>
          </w:p>
        </w:tc>
        <w:tc>
          <w:tcPr>
            <w:tcW w:w="1805" w:type="dxa"/>
            <w:shd w:val="clear" w:color="auto" w:fill="auto"/>
          </w:tcPr>
          <w:p w:rsidR="00C14729" w:rsidRPr="00EB2C72" w:rsidRDefault="00C14729" w:rsidP="00530B93">
            <w:pPr>
              <w:jc w:val="center"/>
              <w:rPr>
                <w:sz w:val="24"/>
                <w:szCs w:val="24"/>
              </w:rPr>
            </w:pPr>
            <w:r w:rsidRPr="00EB2C72">
              <w:rPr>
                <w:sz w:val="24"/>
                <w:szCs w:val="24"/>
              </w:rPr>
              <w:t>8.1610</w:t>
            </w:r>
          </w:p>
        </w:tc>
        <w:tc>
          <w:tcPr>
            <w:tcW w:w="1790" w:type="dxa"/>
            <w:shd w:val="clear" w:color="auto" w:fill="auto"/>
          </w:tcPr>
          <w:p w:rsidR="00C14729" w:rsidRPr="00EB2C72" w:rsidRDefault="00C14729" w:rsidP="00530B93">
            <w:pPr>
              <w:jc w:val="center"/>
              <w:rPr>
                <w:sz w:val="24"/>
                <w:szCs w:val="24"/>
              </w:rPr>
            </w:pPr>
            <w:r w:rsidRPr="00EB2C72">
              <w:rPr>
                <w:sz w:val="24"/>
                <w:szCs w:val="24"/>
              </w:rPr>
              <w:t>49%</w:t>
            </w:r>
          </w:p>
        </w:tc>
      </w:tr>
      <w:tr w:rsidR="007E5606" w:rsidRPr="006828AB">
        <w:trPr>
          <w:trHeight w:val="312"/>
          <w:jc w:val="center"/>
        </w:trPr>
        <w:tc>
          <w:tcPr>
            <w:tcW w:w="1805" w:type="dxa"/>
            <w:shd w:val="clear" w:color="auto" w:fill="auto"/>
          </w:tcPr>
          <w:p w:rsidR="007E5606" w:rsidRPr="00EB2C72" w:rsidRDefault="007E5606" w:rsidP="00530B93">
            <w:pPr>
              <w:jc w:val="center"/>
              <w:rPr>
                <w:sz w:val="24"/>
                <w:szCs w:val="24"/>
              </w:rPr>
            </w:pPr>
            <w:r w:rsidRPr="00EB2C72">
              <w:rPr>
                <w:sz w:val="24"/>
                <w:szCs w:val="24"/>
              </w:rPr>
              <w:t>2012</w:t>
            </w:r>
          </w:p>
        </w:tc>
        <w:tc>
          <w:tcPr>
            <w:tcW w:w="1805" w:type="dxa"/>
            <w:shd w:val="clear" w:color="auto" w:fill="auto"/>
          </w:tcPr>
          <w:p w:rsidR="007E5606" w:rsidRPr="00EB2C72" w:rsidRDefault="007E5606" w:rsidP="00530B93">
            <w:pPr>
              <w:jc w:val="center"/>
              <w:rPr>
                <w:sz w:val="24"/>
                <w:szCs w:val="24"/>
              </w:rPr>
            </w:pPr>
            <w:r w:rsidRPr="00EB2C72">
              <w:rPr>
                <w:sz w:val="24"/>
                <w:szCs w:val="24"/>
              </w:rPr>
              <w:t>9.6091</w:t>
            </w:r>
          </w:p>
        </w:tc>
        <w:tc>
          <w:tcPr>
            <w:tcW w:w="1790" w:type="dxa"/>
            <w:shd w:val="clear" w:color="auto" w:fill="auto"/>
          </w:tcPr>
          <w:p w:rsidR="007E5606" w:rsidRPr="00EB2C72" w:rsidRDefault="007E5606" w:rsidP="00530B93">
            <w:pPr>
              <w:jc w:val="center"/>
              <w:rPr>
                <w:sz w:val="24"/>
                <w:szCs w:val="24"/>
              </w:rPr>
            </w:pPr>
            <w:r w:rsidRPr="00EB2C72">
              <w:rPr>
                <w:sz w:val="24"/>
                <w:szCs w:val="24"/>
              </w:rPr>
              <w:t>18%</w:t>
            </w:r>
          </w:p>
        </w:tc>
      </w:tr>
      <w:tr w:rsidR="00AB4146" w:rsidRPr="006828AB">
        <w:trPr>
          <w:trHeight w:val="312"/>
          <w:jc w:val="center"/>
        </w:trPr>
        <w:tc>
          <w:tcPr>
            <w:tcW w:w="1805" w:type="dxa"/>
            <w:shd w:val="clear" w:color="auto" w:fill="auto"/>
          </w:tcPr>
          <w:p w:rsidR="00AB4146" w:rsidRPr="00EB2C72" w:rsidRDefault="00AB4146" w:rsidP="00530B93">
            <w:pPr>
              <w:jc w:val="center"/>
              <w:rPr>
                <w:sz w:val="24"/>
                <w:szCs w:val="24"/>
              </w:rPr>
            </w:pPr>
            <w:r w:rsidRPr="00EB2C72">
              <w:rPr>
                <w:sz w:val="24"/>
                <w:szCs w:val="24"/>
              </w:rPr>
              <w:t>2013</w:t>
            </w:r>
          </w:p>
        </w:tc>
        <w:tc>
          <w:tcPr>
            <w:tcW w:w="1805" w:type="dxa"/>
            <w:shd w:val="clear" w:color="auto" w:fill="auto"/>
          </w:tcPr>
          <w:p w:rsidR="00AB4146" w:rsidRPr="00EB2C72" w:rsidRDefault="00AB4146" w:rsidP="00AB4146">
            <w:pPr>
              <w:ind w:left="-113"/>
              <w:jc w:val="center"/>
              <w:rPr>
                <w:sz w:val="24"/>
                <w:szCs w:val="24"/>
              </w:rPr>
            </w:pPr>
            <w:r w:rsidRPr="00EB2C72">
              <w:rPr>
                <w:sz w:val="24"/>
                <w:szCs w:val="24"/>
              </w:rPr>
              <w:t>10.974</w:t>
            </w:r>
          </w:p>
        </w:tc>
        <w:tc>
          <w:tcPr>
            <w:tcW w:w="1790" w:type="dxa"/>
            <w:shd w:val="clear" w:color="auto" w:fill="auto"/>
          </w:tcPr>
          <w:p w:rsidR="00AB4146" w:rsidRPr="00EB2C72" w:rsidRDefault="00AB4146" w:rsidP="00530B93">
            <w:pPr>
              <w:jc w:val="center"/>
              <w:rPr>
                <w:sz w:val="24"/>
                <w:szCs w:val="24"/>
              </w:rPr>
            </w:pPr>
            <w:r w:rsidRPr="00EB2C72">
              <w:rPr>
                <w:sz w:val="24"/>
                <w:szCs w:val="24"/>
              </w:rPr>
              <w:t>14%</w:t>
            </w:r>
          </w:p>
        </w:tc>
      </w:tr>
      <w:tr w:rsidR="00E223D1" w:rsidRPr="006828AB">
        <w:trPr>
          <w:trHeight w:val="312"/>
          <w:jc w:val="center"/>
        </w:trPr>
        <w:tc>
          <w:tcPr>
            <w:tcW w:w="1805" w:type="dxa"/>
            <w:shd w:val="clear" w:color="auto" w:fill="auto"/>
          </w:tcPr>
          <w:p w:rsidR="00E223D1" w:rsidRPr="00EB2C72" w:rsidRDefault="00E223D1" w:rsidP="00530B93">
            <w:pPr>
              <w:jc w:val="center"/>
              <w:rPr>
                <w:sz w:val="24"/>
                <w:szCs w:val="24"/>
              </w:rPr>
            </w:pPr>
            <w:r w:rsidRPr="00EB2C72">
              <w:rPr>
                <w:sz w:val="24"/>
                <w:szCs w:val="24"/>
              </w:rPr>
              <w:t>2014</w:t>
            </w:r>
          </w:p>
        </w:tc>
        <w:tc>
          <w:tcPr>
            <w:tcW w:w="1805" w:type="dxa"/>
            <w:shd w:val="clear" w:color="auto" w:fill="auto"/>
          </w:tcPr>
          <w:p w:rsidR="00E223D1" w:rsidRPr="00EB2C72" w:rsidRDefault="00E223D1" w:rsidP="00AB4146">
            <w:pPr>
              <w:ind w:left="-113"/>
              <w:jc w:val="center"/>
              <w:rPr>
                <w:sz w:val="24"/>
                <w:szCs w:val="24"/>
              </w:rPr>
            </w:pPr>
            <w:r w:rsidRPr="00EB2C72">
              <w:rPr>
                <w:sz w:val="24"/>
                <w:szCs w:val="24"/>
              </w:rPr>
              <w:t>12.281</w:t>
            </w:r>
          </w:p>
        </w:tc>
        <w:tc>
          <w:tcPr>
            <w:tcW w:w="1790" w:type="dxa"/>
            <w:shd w:val="clear" w:color="auto" w:fill="auto"/>
          </w:tcPr>
          <w:p w:rsidR="00E223D1" w:rsidRPr="00EB2C72" w:rsidRDefault="00E223D1" w:rsidP="00530B93">
            <w:pPr>
              <w:jc w:val="center"/>
              <w:rPr>
                <w:sz w:val="24"/>
                <w:szCs w:val="24"/>
              </w:rPr>
            </w:pPr>
            <w:r w:rsidRPr="00EB2C72">
              <w:rPr>
                <w:sz w:val="24"/>
                <w:szCs w:val="24"/>
              </w:rPr>
              <w:t>12%</w:t>
            </w:r>
          </w:p>
        </w:tc>
      </w:tr>
      <w:tr w:rsidR="00C40233" w:rsidRPr="006828AB">
        <w:trPr>
          <w:trHeight w:val="312"/>
          <w:jc w:val="center"/>
        </w:trPr>
        <w:tc>
          <w:tcPr>
            <w:tcW w:w="1805" w:type="dxa"/>
            <w:shd w:val="clear" w:color="auto" w:fill="auto"/>
          </w:tcPr>
          <w:p w:rsidR="00C40233" w:rsidRPr="00EB2C72" w:rsidRDefault="00C40233" w:rsidP="00530B93">
            <w:pPr>
              <w:jc w:val="center"/>
              <w:rPr>
                <w:sz w:val="24"/>
                <w:szCs w:val="24"/>
              </w:rPr>
            </w:pPr>
            <w:r w:rsidRPr="00EB2C72">
              <w:rPr>
                <w:sz w:val="24"/>
                <w:szCs w:val="24"/>
              </w:rPr>
              <w:t>2015</w:t>
            </w:r>
          </w:p>
        </w:tc>
        <w:tc>
          <w:tcPr>
            <w:tcW w:w="1805" w:type="dxa"/>
            <w:shd w:val="clear" w:color="auto" w:fill="auto"/>
          </w:tcPr>
          <w:p w:rsidR="00C40233" w:rsidRPr="00EB2C72" w:rsidRDefault="00C40233" w:rsidP="00AB4146">
            <w:pPr>
              <w:ind w:left="-113"/>
              <w:jc w:val="center"/>
              <w:rPr>
                <w:sz w:val="24"/>
                <w:szCs w:val="24"/>
              </w:rPr>
            </w:pPr>
            <w:r w:rsidRPr="00EB2C72">
              <w:rPr>
                <w:sz w:val="24"/>
                <w:szCs w:val="24"/>
              </w:rPr>
              <w:t>13.224</w:t>
            </w:r>
          </w:p>
        </w:tc>
        <w:tc>
          <w:tcPr>
            <w:tcW w:w="1790" w:type="dxa"/>
            <w:shd w:val="clear" w:color="auto" w:fill="auto"/>
          </w:tcPr>
          <w:p w:rsidR="009C7120" w:rsidRPr="00EB2C72" w:rsidRDefault="00C40233" w:rsidP="009C7120">
            <w:pPr>
              <w:jc w:val="center"/>
              <w:rPr>
                <w:sz w:val="24"/>
                <w:szCs w:val="24"/>
              </w:rPr>
            </w:pPr>
            <w:r w:rsidRPr="00EB2C72">
              <w:rPr>
                <w:sz w:val="24"/>
                <w:szCs w:val="24"/>
              </w:rPr>
              <w:t>8%</w:t>
            </w:r>
          </w:p>
        </w:tc>
      </w:tr>
      <w:tr w:rsidR="009C7120" w:rsidRPr="006828AB">
        <w:trPr>
          <w:trHeight w:val="312"/>
          <w:jc w:val="center"/>
        </w:trPr>
        <w:tc>
          <w:tcPr>
            <w:tcW w:w="1805" w:type="dxa"/>
            <w:shd w:val="clear" w:color="auto" w:fill="auto"/>
          </w:tcPr>
          <w:p w:rsidR="009C7120" w:rsidRPr="00EB2C72" w:rsidRDefault="009C7120" w:rsidP="00530B93">
            <w:pPr>
              <w:jc w:val="center"/>
              <w:rPr>
                <w:sz w:val="24"/>
                <w:szCs w:val="24"/>
              </w:rPr>
            </w:pPr>
            <w:r w:rsidRPr="00EB2C72">
              <w:rPr>
                <w:sz w:val="24"/>
                <w:szCs w:val="24"/>
              </w:rPr>
              <w:t>2016</w:t>
            </w:r>
          </w:p>
        </w:tc>
        <w:tc>
          <w:tcPr>
            <w:tcW w:w="1805" w:type="dxa"/>
            <w:shd w:val="clear" w:color="auto" w:fill="auto"/>
          </w:tcPr>
          <w:p w:rsidR="009C7120" w:rsidRPr="00EB2C72" w:rsidRDefault="00ED292C" w:rsidP="00AB4146">
            <w:pPr>
              <w:ind w:left="-113"/>
              <w:jc w:val="center"/>
              <w:rPr>
                <w:sz w:val="24"/>
                <w:szCs w:val="24"/>
              </w:rPr>
            </w:pPr>
            <w:r w:rsidRPr="00EB2C72">
              <w:rPr>
                <w:sz w:val="24"/>
                <w:szCs w:val="24"/>
              </w:rPr>
              <w:t>13.164</w:t>
            </w:r>
          </w:p>
        </w:tc>
        <w:tc>
          <w:tcPr>
            <w:tcW w:w="1790" w:type="dxa"/>
            <w:shd w:val="clear" w:color="auto" w:fill="auto"/>
          </w:tcPr>
          <w:p w:rsidR="009C7120" w:rsidRPr="00EB2C72" w:rsidRDefault="00ED292C" w:rsidP="00530B93">
            <w:pPr>
              <w:jc w:val="center"/>
              <w:rPr>
                <w:sz w:val="24"/>
                <w:szCs w:val="24"/>
              </w:rPr>
            </w:pPr>
            <w:r w:rsidRPr="00EB2C72">
              <w:rPr>
                <w:sz w:val="24"/>
                <w:szCs w:val="24"/>
              </w:rPr>
              <w:t>-0.5%</w:t>
            </w:r>
          </w:p>
        </w:tc>
      </w:tr>
      <w:tr w:rsidR="006F06BE" w:rsidRPr="006828AB">
        <w:trPr>
          <w:trHeight w:val="312"/>
          <w:jc w:val="center"/>
        </w:trPr>
        <w:tc>
          <w:tcPr>
            <w:tcW w:w="1805" w:type="dxa"/>
            <w:shd w:val="clear" w:color="auto" w:fill="auto"/>
          </w:tcPr>
          <w:p w:rsidR="006F06BE" w:rsidRPr="00EB2C72" w:rsidRDefault="006F06BE" w:rsidP="00530B93">
            <w:pPr>
              <w:jc w:val="center"/>
              <w:rPr>
                <w:sz w:val="24"/>
                <w:szCs w:val="24"/>
              </w:rPr>
            </w:pPr>
            <w:r w:rsidRPr="00EB2C72">
              <w:rPr>
                <w:sz w:val="24"/>
                <w:szCs w:val="24"/>
              </w:rPr>
              <w:t>2017</w:t>
            </w:r>
          </w:p>
        </w:tc>
        <w:tc>
          <w:tcPr>
            <w:tcW w:w="1805" w:type="dxa"/>
            <w:shd w:val="clear" w:color="auto" w:fill="auto"/>
          </w:tcPr>
          <w:p w:rsidR="006F06BE" w:rsidRPr="00EB2C72" w:rsidRDefault="006F06BE" w:rsidP="00AB4146">
            <w:pPr>
              <w:ind w:left="-113"/>
              <w:jc w:val="center"/>
              <w:rPr>
                <w:sz w:val="24"/>
                <w:szCs w:val="24"/>
              </w:rPr>
            </w:pPr>
            <w:r w:rsidRPr="00EB2C72">
              <w:rPr>
                <w:sz w:val="24"/>
                <w:szCs w:val="24"/>
              </w:rPr>
              <w:t>13.213</w:t>
            </w:r>
          </w:p>
        </w:tc>
        <w:tc>
          <w:tcPr>
            <w:tcW w:w="1790" w:type="dxa"/>
            <w:shd w:val="clear" w:color="auto" w:fill="auto"/>
          </w:tcPr>
          <w:p w:rsidR="006F06BE" w:rsidRPr="00EB2C72" w:rsidRDefault="006F06BE" w:rsidP="00530B93">
            <w:pPr>
              <w:jc w:val="center"/>
              <w:rPr>
                <w:sz w:val="24"/>
                <w:szCs w:val="24"/>
              </w:rPr>
            </w:pPr>
            <w:r w:rsidRPr="00EB2C72">
              <w:rPr>
                <w:sz w:val="24"/>
                <w:szCs w:val="24"/>
              </w:rPr>
              <w:t>0.37%</w:t>
            </w:r>
          </w:p>
        </w:tc>
      </w:tr>
      <w:tr w:rsidR="00161898" w:rsidRPr="003250A1">
        <w:trPr>
          <w:trHeight w:val="312"/>
          <w:jc w:val="center"/>
        </w:trPr>
        <w:tc>
          <w:tcPr>
            <w:tcW w:w="1805" w:type="dxa"/>
            <w:shd w:val="clear" w:color="auto" w:fill="auto"/>
          </w:tcPr>
          <w:p w:rsidR="00161898" w:rsidRPr="003250A1" w:rsidRDefault="00161898" w:rsidP="00530B93">
            <w:pPr>
              <w:jc w:val="center"/>
              <w:rPr>
                <w:sz w:val="24"/>
                <w:szCs w:val="24"/>
              </w:rPr>
            </w:pPr>
            <w:r w:rsidRPr="003250A1">
              <w:rPr>
                <w:sz w:val="24"/>
                <w:szCs w:val="24"/>
              </w:rPr>
              <w:t>2018</w:t>
            </w:r>
          </w:p>
        </w:tc>
        <w:tc>
          <w:tcPr>
            <w:tcW w:w="1805" w:type="dxa"/>
            <w:shd w:val="clear" w:color="auto" w:fill="auto"/>
          </w:tcPr>
          <w:p w:rsidR="00161898" w:rsidRPr="003250A1" w:rsidRDefault="00AC5BC8" w:rsidP="00AB4146">
            <w:pPr>
              <w:ind w:left="-113"/>
              <w:jc w:val="center"/>
              <w:rPr>
                <w:sz w:val="24"/>
                <w:szCs w:val="24"/>
              </w:rPr>
            </w:pPr>
            <w:r w:rsidRPr="003250A1">
              <w:rPr>
                <w:sz w:val="24"/>
                <w:szCs w:val="24"/>
              </w:rPr>
              <w:t>13.824</w:t>
            </w:r>
          </w:p>
        </w:tc>
        <w:tc>
          <w:tcPr>
            <w:tcW w:w="1790" w:type="dxa"/>
            <w:shd w:val="clear" w:color="auto" w:fill="auto"/>
          </w:tcPr>
          <w:p w:rsidR="00161898" w:rsidRPr="003250A1" w:rsidRDefault="00AC5BC8" w:rsidP="00AC5BC8">
            <w:pPr>
              <w:jc w:val="center"/>
              <w:rPr>
                <w:sz w:val="24"/>
                <w:szCs w:val="24"/>
              </w:rPr>
            </w:pPr>
            <w:r w:rsidRPr="003250A1">
              <w:rPr>
                <w:sz w:val="24"/>
                <w:szCs w:val="24"/>
              </w:rPr>
              <w:t>4.6%</w:t>
            </w:r>
          </w:p>
        </w:tc>
      </w:tr>
      <w:tr w:rsidR="00E25345" w:rsidRPr="003250A1">
        <w:trPr>
          <w:trHeight w:val="312"/>
          <w:jc w:val="center"/>
        </w:trPr>
        <w:tc>
          <w:tcPr>
            <w:tcW w:w="1805" w:type="dxa"/>
            <w:shd w:val="clear" w:color="auto" w:fill="auto"/>
          </w:tcPr>
          <w:p w:rsidR="00E25345" w:rsidRPr="003250A1" w:rsidRDefault="00E25345" w:rsidP="00530B93">
            <w:pPr>
              <w:jc w:val="center"/>
              <w:rPr>
                <w:sz w:val="24"/>
                <w:szCs w:val="24"/>
              </w:rPr>
            </w:pPr>
            <w:r w:rsidRPr="003250A1">
              <w:rPr>
                <w:sz w:val="24"/>
                <w:szCs w:val="24"/>
              </w:rPr>
              <w:t>2019</w:t>
            </w:r>
          </w:p>
        </w:tc>
        <w:tc>
          <w:tcPr>
            <w:tcW w:w="1805" w:type="dxa"/>
            <w:shd w:val="clear" w:color="auto" w:fill="auto"/>
          </w:tcPr>
          <w:p w:rsidR="00E25345" w:rsidRPr="003250A1" w:rsidRDefault="00A64D56" w:rsidP="00AB4146">
            <w:pPr>
              <w:ind w:left="-113"/>
              <w:jc w:val="center"/>
              <w:rPr>
                <w:sz w:val="24"/>
                <w:szCs w:val="24"/>
              </w:rPr>
            </w:pPr>
            <w:r w:rsidRPr="003250A1">
              <w:rPr>
                <w:sz w:val="24"/>
                <w:szCs w:val="24"/>
              </w:rPr>
              <w:t>14.793</w:t>
            </w:r>
          </w:p>
        </w:tc>
        <w:tc>
          <w:tcPr>
            <w:tcW w:w="1790" w:type="dxa"/>
            <w:shd w:val="clear" w:color="auto" w:fill="auto"/>
          </w:tcPr>
          <w:p w:rsidR="00E25345" w:rsidRPr="003250A1" w:rsidRDefault="00A64D56" w:rsidP="00AC5BC8">
            <w:pPr>
              <w:jc w:val="center"/>
              <w:rPr>
                <w:sz w:val="24"/>
                <w:szCs w:val="24"/>
              </w:rPr>
            </w:pPr>
            <w:r w:rsidRPr="003250A1">
              <w:rPr>
                <w:sz w:val="24"/>
                <w:szCs w:val="24"/>
              </w:rPr>
              <w:t>7%</w:t>
            </w:r>
          </w:p>
        </w:tc>
      </w:tr>
      <w:tr w:rsidR="003250A1" w:rsidRPr="003250A1">
        <w:trPr>
          <w:trHeight w:val="312"/>
          <w:jc w:val="center"/>
        </w:trPr>
        <w:tc>
          <w:tcPr>
            <w:tcW w:w="1805" w:type="dxa"/>
            <w:shd w:val="clear" w:color="auto" w:fill="auto"/>
          </w:tcPr>
          <w:p w:rsidR="003250A1" w:rsidRPr="003250A1" w:rsidRDefault="003250A1" w:rsidP="00530B93">
            <w:pPr>
              <w:jc w:val="center"/>
              <w:rPr>
                <w:sz w:val="24"/>
                <w:szCs w:val="24"/>
              </w:rPr>
            </w:pPr>
            <w:r w:rsidRPr="003250A1">
              <w:rPr>
                <w:sz w:val="24"/>
                <w:szCs w:val="24"/>
              </w:rPr>
              <w:t>2020</w:t>
            </w:r>
          </w:p>
        </w:tc>
        <w:tc>
          <w:tcPr>
            <w:tcW w:w="1805" w:type="dxa"/>
            <w:shd w:val="clear" w:color="auto" w:fill="auto"/>
          </w:tcPr>
          <w:p w:rsidR="003250A1" w:rsidRPr="003250A1" w:rsidRDefault="003250A1" w:rsidP="00AB4146">
            <w:pPr>
              <w:ind w:left="-113"/>
              <w:jc w:val="center"/>
              <w:rPr>
                <w:sz w:val="24"/>
                <w:szCs w:val="24"/>
              </w:rPr>
            </w:pPr>
            <w:r w:rsidRPr="003250A1">
              <w:rPr>
                <w:sz w:val="24"/>
                <w:szCs w:val="24"/>
              </w:rPr>
              <w:t>14.907</w:t>
            </w:r>
          </w:p>
        </w:tc>
        <w:tc>
          <w:tcPr>
            <w:tcW w:w="1790" w:type="dxa"/>
            <w:shd w:val="clear" w:color="auto" w:fill="auto"/>
          </w:tcPr>
          <w:p w:rsidR="003250A1" w:rsidRPr="003250A1" w:rsidRDefault="003250A1" w:rsidP="00AC5BC8">
            <w:pPr>
              <w:jc w:val="center"/>
              <w:rPr>
                <w:sz w:val="24"/>
                <w:szCs w:val="24"/>
              </w:rPr>
            </w:pPr>
            <w:r w:rsidRPr="003250A1">
              <w:rPr>
                <w:sz w:val="24"/>
                <w:szCs w:val="24"/>
              </w:rPr>
              <w:t>0.8%</w:t>
            </w:r>
          </w:p>
        </w:tc>
      </w:tr>
    </w:tbl>
    <w:p w:rsidR="002519E9" w:rsidRPr="003250A1" w:rsidRDefault="002519E9" w:rsidP="007011F3">
      <w:pPr>
        <w:rPr>
          <w:sz w:val="22"/>
          <w:szCs w:val="22"/>
        </w:rPr>
      </w:pPr>
    </w:p>
    <w:p w:rsidR="00EB2C72" w:rsidRPr="003250A1" w:rsidRDefault="00EB2C72" w:rsidP="007011F3">
      <w:pPr>
        <w:rPr>
          <w:sz w:val="24"/>
        </w:rPr>
      </w:pPr>
    </w:p>
    <w:p w:rsidR="00BF34E3" w:rsidRPr="003250A1" w:rsidRDefault="00BF34E3" w:rsidP="007011F3">
      <w:pPr>
        <w:rPr>
          <w:sz w:val="24"/>
        </w:rPr>
      </w:pPr>
      <w:r w:rsidRPr="003250A1">
        <w:rPr>
          <w:sz w:val="24"/>
        </w:rPr>
        <w:t xml:space="preserve">Tax rate increases are impacted by changes in the Equalized Assessed Valuation (EAV) of the Village.  </w:t>
      </w:r>
      <w:r w:rsidR="0066450F" w:rsidRPr="003250A1">
        <w:rPr>
          <w:sz w:val="24"/>
        </w:rPr>
        <w:t>As the chart below shows, values in t</w:t>
      </w:r>
      <w:r w:rsidR="00936A21" w:rsidRPr="003250A1">
        <w:rPr>
          <w:sz w:val="24"/>
        </w:rPr>
        <w:t xml:space="preserve">he Village </w:t>
      </w:r>
      <w:r w:rsidR="00ED292C" w:rsidRPr="003250A1">
        <w:rPr>
          <w:sz w:val="24"/>
        </w:rPr>
        <w:t xml:space="preserve">increased by </w:t>
      </w:r>
      <w:r w:rsidR="00861477" w:rsidRPr="003250A1">
        <w:rPr>
          <w:sz w:val="24"/>
        </w:rPr>
        <w:t>3.37% to $131,918,779</w:t>
      </w:r>
      <w:r w:rsidR="00AB2BD3" w:rsidRPr="003250A1">
        <w:rPr>
          <w:sz w:val="24"/>
        </w:rPr>
        <w:t xml:space="preserve"> for 2017</w:t>
      </w:r>
      <w:r w:rsidR="00861477" w:rsidRPr="003250A1">
        <w:rPr>
          <w:sz w:val="24"/>
        </w:rPr>
        <w:t xml:space="preserve">.  </w:t>
      </w:r>
      <w:r w:rsidR="008B36DC" w:rsidRPr="003250A1">
        <w:rPr>
          <w:sz w:val="24"/>
        </w:rPr>
        <w:t xml:space="preserve">The 2018 EAV decreased by 2.4% to $128,752,192.  </w:t>
      </w:r>
      <w:r w:rsidR="00AB2BD3" w:rsidRPr="003250A1">
        <w:rPr>
          <w:sz w:val="24"/>
        </w:rPr>
        <w:t xml:space="preserve">The 2019 EAV increased by 0.51% to $129,403,796.  </w:t>
      </w:r>
      <w:r w:rsidR="003250A1" w:rsidRPr="003250A1">
        <w:rPr>
          <w:sz w:val="24"/>
        </w:rPr>
        <w:t xml:space="preserve">The 2020 EAV increased by 3.26% to $133,624,027.  </w:t>
      </w:r>
      <w:r w:rsidR="00E25345" w:rsidRPr="003250A1">
        <w:rPr>
          <w:sz w:val="24"/>
        </w:rPr>
        <w:t>Increases to EAV’s causes the Village’s tax rate to decrease, all other factors remaining equal.</w:t>
      </w:r>
    </w:p>
    <w:p w:rsidR="00C67EF1" w:rsidRPr="003250A1" w:rsidRDefault="00C67EF1" w:rsidP="007011F3">
      <w:pPr>
        <w:rPr>
          <w:sz w:val="18"/>
        </w:rPr>
      </w:pPr>
    </w:p>
    <w:p w:rsidR="009A274F" w:rsidRPr="006828AB" w:rsidRDefault="00DE3BBC" w:rsidP="007011F3">
      <w:pPr>
        <w:rPr>
          <w:sz w:val="22"/>
          <w:szCs w:val="22"/>
          <w:highlight w:val="yellow"/>
        </w:rPr>
      </w:pPr>
      <w:r>
        <w:rPr>
          <w:noProof/>
        </w:rPr>
        <w:lastRenderedPageBreak/>
        <w:drawing>
          <wp:inline distT="0" distB="0" distL="0" distR="0" wp14:anchorId="0BB165FE" wp14:editId="08CCDFC0">
            <wp:extent cx="5257800" cy="2295524"/>
            <wp:effectExtent l="0" t="0" r="0"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34E3" w:rsidRPr="006828AB" w:rsidRDefault="00BF34E3" w:rsidP="009A274F">
      <w:pPr>
        <w:ind w:firstLine="270"/>
        <w:rPr>
          <w:sz w:val="10"/>
          <w:szCs w:val="10"/>
          <w:highlight w:val="yellow"/>
          <w:u w:val="single"/>
        </w:rPr>
      </w:pPr>
    </w:p>
    <w:p w:rsidR="00B37B49" w:rsidRPr="003250A1" w:rsidRDefault="008A70D7" w:rsidP="00C67EF1">
      <w:pPr>
        <w:jc w:val="center"/>
        <w:rPr>
          <w:bCs/>
          <w:sz w:val="16"/>
          <w:szCs w:val="16"/>
        </w:rPr>
      </w:pPr>
      <w:r>
        <w:rPr>
          <w:bCs/>
          <w:noProof/>
          <w:sz w:val="24"/>
          <w:highlight w:val="yellow"/>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647.9pt;margin-top:208.85pt;width:90.7pt;height:180pt;z-index:-251659776;mso-wrap-distance-left:12pt;mso-wrap-distance-top:12pt;mso-wrap-distance-right:12pt;mso-wrap-distance-bottom:12pt;mso-position-horizontal-relative:margin;mso-position-vertical-relative:margin">
            <v:imagedata r:id="rId11" o:title="" cropleft="42942f" cropright="7312f"/>
            <w10:wrap anchorx="margin" anchory="margin"/>
          </v:shape>
          <o:OLEObject Type="Embed" ProgID="Presentations.Drawing.12" ShapeID="_x0000_s1040" DrawAspect="Content" ObjectID="_1742286930" r:id="rId12">
            <o:FieldCodes>\s \* MERGEFORMAT</o:FieldCodes>
          </o:OLEObject>
        </w:object>
      </w:r>
      <w:r>
        <w:rPr>
          <w:bCs/>
          <w:noProof/>
          <w:sz w:val="24"/>
          <w:highlight w:val="yellow"/>
        </w:rPr>
        <w:object w:dxaOrig="1440" w:dyaOrig="1440">
          <v:shape id="_x0000_s1038" type="#_x0000_t75" style="position:absolute;left:0;text-align:left;margin-left:736.05pt;margin-top:559.7pt;width:40.3pt;height:180pt;z-index:-251660800;mso-wrap-distance-left:4.5pt;mso-wrap-distance-top:4.5pt;mso-wrap-distance-right:4.5pt;mso-wrap-distance-bottom:4.5pt;mso-position-horizontal-relative:margin;mso-position-vertical-relative:page">
            <v:imagedata r:id="rId13" o:title="" cropleft="56504f" cropright="2430f"/>
            <w10:wrap anchorx="margin" anchory="page"/>
          </v:shape>
          <o:OLEObject Type="Embed" ProgID="Presentations.Drawing.12" ShapeID="_x0000_s1038" DrawAspect="Content" ObjectID="_1742286931" r:id="rId14">
            <o:FieldCodes>\s \* MERGEFORMAT</o:FieldCodes>
          </o:OLEObject>
        </w:object>
      </w:r>
    </w:p>
    <w:p w:rsidR="00F00D49" w:rsidRPr="003250A1" w:rsidRDefault="00F00D49">
      <w:pPr>
        <w:pStyle w:val="Header"/>
        <w:tabs>
          <w:tab w:val="clear" w:pos="4320"/>
          <w:tab w:val="clear" w:pos="8640"/>
          <w:tab w:val="left" w:pos="4590"/>
        </w:tabs>
        <w:rPr>
          <w:bCs/>
          <w:sz w:val="24"/>
        </w:rPr>
      </w:pPr>
      <w:r w:rsidRPr="003250A1">
        <w:rPr>
          <w:bCs/>
          <w:sz w:val="24"/>
        </w:rPr>
        <w:t xml:space="preserve">Citizens often express their concerns about taxes </w:t>
      </w:r>
      <w:r w:rsidR="00ED292C" w:rsidRPr="003250A1">
        <w:rPr>
          <w:bCs/>
          <w:sz w:val="24"/>
        </w:rPr>
        <w:t xml:space="preserve">paid </w:t>
      </w:r>
      <w:r w:rsidRPr="003250A1">
        <w:rPr>
          <w:bCs/>
          <w:sz w:val="24"/>
        </w:rPr>
        <w:t xml:space="preserve">to the Village.  They sometimes believe the Village is responsible for their entire tax bill.  The reality is the Village levy </w:t>
      </w:r>
      <w:r w:rsidRPr="007C1E79">
        <w:rPr>
          <w:bCs/>
          <w:sz w:val="24"/>
        </w:rPr>
        <w:t xml:space="preserve">represents only </w:t>
      </w:r>
      <w:r w:rsidR="00403751" w:rsidRPr="007C1E79">
        <w:rPr>
          <w:bCs/>
          <w:sz w:val="24"/>
        </w:rPr>
        <w:t>3</w:t>
      </w:r>
      <w:r w:rsidR="0021378B" w:rsidRPr="007C1E79">
        <w:rPr>
          <w:bCs/>
          <w:sz w:val="24"/>
        </w:rPr>
        <w:t>5</w:t>
      </w:r>
      <w:r w:rsidRPr="007C1E79">
        <w:rPr>
          <w:bCs/>
          <w:sz w:val="24"/>
        </w:rPr>
        <w:t xml:space="preserve">% to </w:t>
      </w:r>
      <w:r w:rsidR="0066450F" w:rsidRPr="007C1E79">
        <w:rPr>
          <w:bCs/>
          <w:sz w:val="24"/>
        </w:rPr>
        <w:t>4</w:t>
      </w:r>
      <w:r w:rsidR="00845C66" w:rsidRPr="007C1E79">
        <w:rPr>
          <w:bCs/>
          <w:sz w:val="24"/>
        </w:rPr>
        <w:t>0</w:t>
      </w:r>
      <w:r w:rsidRPr="007C1E79">
        <w:rPr>
          <w:bCs/>
          <w:sz w:val="24"/>
        </w:rPr>
        <w:t>% of the total bill</w:t>
      </w:r>
      <w:r w:rsidR="001578B1" w:rsidRPr="007C1E79">
        <w:rPr>
          <w:bCs/>
          <w:sz w:val="24"/>
        </w:rPr>
        <w:t xml:space="preserve"> depending on the school districts represented and the</w:t>
      </w:r>
      <w:r w:rsidR="001578B1" w:rsidRPr="003250A1">
        <w:rPr>
          <w:bCs/>
          <w:sz w:val="24"/>
        </w:rPr>
        <w:t xml:space="preserve"> county involved</w:t>
      </w:r>
      <w:r w:rsidRPr="003250A1">
        <w:rPr>
          <w:bCs/>
          <w:sz w:val="24"/>
        </w:rPr>
        <w:t xml:space="preserve">.  From that </w:t>
      </w:r>
      <w:r w:rsidR="001964B6" w:rsidRPr="003250A1">
        <w:rPr>
          <w:bCs/>
          <w:sz w:val="24"/>
        </w:rPr>
        <w:t>amount</w:t>
      </w:r>
      <w:r w:rsidRPr="003250A1">
        <w:rPr>
          <w:bCs/>
          <w:sz w:val="24"/>
        </w:rPr>
        <w:t xml:space="preserve">, the Village provides Police, Fire, </w:t>
      </w:r>
      <w:r w:rsidR="001578B1" w:rsidRPr="003250A1">
        <w:rPr>
          <w:bCs/>
          <w:sz w:val="24"/>
        </w:rPr>
        <w:t>Community Development, Economic Development,</w:t>
      </w:r>
      <w:r w:rsidRPr="003250A1">
        <w:rPr>
          <w:bCs/>
          <w:sz w:val="24"/>
        </w:rPr>
        <w:t xml:space="preserve"> Public Works, Recreation and Parks</w:t>
      </w:r>
      <w:r w:rsidR="003250A1">
        <w:rPr>
          <w:bCs/>
          <w:sz w:val="24"/>
        </w:rPr>
        <w:t>, Community Health</w:t>
      </w:r>
      <w:r w:rsidRPr="003250A1">
        <w:rPr>
          <w:bCs/>
          <w:sz w:val="24"/>
        </w:rPr>
        <w:t xml:space="preserve"> and Administrative Services for its residents.</w:t>
      </w:r>
    </w:p>
    <w:p w:rsidR="002231C9" w:rsidRPr="00464D81" w:rsidRDefault="002231C9">
      <w:pPr>
        <w:pStyle w:val="Header"/>
        <w:tabs>
          <w:tab w:val="clear" w:pos="4320"/>
          <w:tab w:val="clear" w:pos="8640"/>
          <w:tab w:val="left" w:pos="4590"/>
        </w:tabs>
        <w:rPr>
          <w:bCs/>
          <w:sz w:val="24"/>
        </w:rPr>
      </w:pPr>
    </w:p>
    <w:p w:rsidR="00A15E48" w:rsidRPr="00464D81" w:rsidRDefault="0094209A">
      <w:pPr>
        <w:pStyle w:val="Header"/>
        <w:tabs>
          <w:tab w:val="clear" w:pos="4320"/>
          <w:tab w:val="clear" w:pos="8640"/>
          <w:tab w:val="left" w:pos="4590"/>
        </w:tabs>
        <w:rPr>
          <w:bCs/>
          <w:sz w:val="24"/>
        </w:rPr>
      </w:pPr>
      <w:r w:rsidRPr="00464D81">
        <w:rPr>
          <w:bCs/>
          <w:sz w:val="24"/>
        </w:rPr>
        <w:t xml:space="preserve">School District 163 represents the majority of the Village.  </w:t>
      </w:r>
      <w:r w:rsidR="00D666EF" w:rsidRPr="00464D81">
        <w:rPr>
          <w:bCs/>
          <w:sz w:val="24"/>
        </w:rPr>
        <w:t>The following</w:t>
      </w:r>
      <w:r w:rsidRPr="00464D81">
        <w:rPr>
          <w:bCs/>
          <w:sz w:val="24"/>
        </w:rPr>
        <w:t xml:space="preserve"> diagram show</w:t>
      </w:r>
      <w:r w:rsidR="00D666EF" w:rsidRPr="00464D81">
        <w:rPr>
          <w:bCs/>
          <w:sz w:val="24"/>
        </w:rPr>
        <w:t>s</w:t>
      </w:r>
      <w:r w:rsidRPr="00464D81">
        <w:rPr>
          <w:bCs/>
          <w:sz w:val="24"/>
        </w:rPr>
        <w:t xml:space="preserve"> the tax distribution for residents within that district</w:t>
      </w:r>
      <w:r w:rsidR="00B813E0" w:rsidRPr="00464D81">
        <w:rPr>
          <w:bCs/>
          <w:sz w:val="24"/>
        </w:rPr>
        <w:t xml:space="preserve"> for 20</w:t>
      </w:r>
      <w:r w:rsidR="00464D81" w:rsidRPr="00464D81">
        <w:rPr>
          <w:bCs/>
          <w:sz w:val="24"/>
        </w:rPr>
        <w:t>20</w:t>
      </w:r>
      <w:r w:rsidR="00B813E0" w:rsidRPr="00464D81">
        <w:rPr>
          <w:bCs/>
          <w:sz w:val="24"/>
        </w:rPr>
        <w:t xml:space="preserve"> taxes payable in 20</w:t>
      </w:r>
      <w:r w:rsidR="000E47D9" w:rsidRPr="00464D81">
        <w:rPr>
          <w:bCs/>
          <w:sz w:val="24"/>
        </w:rPr>
        <w:t>2</w:t>
      </w:r>
      <w:r w:rsidR="00464D81" w:rsidRPr="00464D81">
        <w:rPr>
          <w:bCs/>
          <w:sz w:val="24"/>
        </w:rPr>
        <w:t>1</w:t>
      </w:r>
      <w:r w:rsidRPr="00464D81">
        <w:rPr>
          <w:bCs/>
          <w:sz w:val="24"/>
        </w:rPr>
        <w:t>.</w:t>
      </w:r>
    </w:p>
    <w:p w:rsidR="009341AA" w:rsidRPr="00464D81" w:rsidRDefault="009341AA">
      <w:pPr>
        <w:pStyle w:val="Header"/>
        <w:tabs>
          <w:tab w:val="clear" w:pos="4320"/>
          <w:tab w:val="clear" w:pos="8640"/>
          <w:tab w:val="left" w:pos="4590"/>
        </w:tabs>
        <w:rPr>
          <w:bCs/>
          <w:sz w:val="24"/>
        </w:rPr>
      </w:pPr>
    </w:p>
    <w:p w:rsidR="00CA3471" w:rsidRPr="00464D81" w:rsidRDefault="00CA3471">
      <w:pPr>
        <w:pStyle w:val="Header"/>
        <w:tabs>
          <w:tab w:val="clear" w:pos="4320"/>
          <w:tab w:val="clear" w:pos="8640"/>
          <w:tab w:val="left" w:pos="4590"/>
        </w:tabs>
        <w:rPr>
          <w:bCs/>
          <w:sz w:val="24"/>
        </w:rPr>
      </w:pPr>
    </w:p>
    <w:p w:rsidR="00B205C4" w:rsidRPr="003250A1" w:rsidRDefault="00B205C4" w:rsidP="00B205C4">
      <w:pPr>
        <w:pStyle w:val="Header"/>
        <w:tabs>
          <w:tab w:val="clear" w:pos="4320"/>
          <w:tab w:val="clear" w:pos="8640"/>
          <w:tab w:val="left" w:pos="4590"/>
        </w:tabs>
        <w:jc w:val="center"/>
        <w:rPr>
          <w:b/>
          <w:bCs/>
          <w:sz w:val="28"/>
          <w:szCs w:val="28"/>
        </w:rPr>
      </w:pPr>
      <w:r w:rsidRPr="003250A1">
        <w:rPr>
          <w:b/>
          <w:bCs/>
          <w:sz w:val="28"/>
          <w:szCs w:val="28"/>
        </w:rPr>
        <w:t>District 163</w:t>
      </w:r>
    </w:p>
    <w:p w:rsidR="00B205C4" w:rsidRPr="003250A1" w:rsidRDefault="00B205C4" w:rsidP="00B205C4">
      <w:pPr>
        <w:pStyle w:val="Header"/>
        <w:tabs>
          <w:tab w:val="clear" w:pos="4320"/>
          <w:tab w:val="clear" w:pos="8640"/>
          <w:tab w:val="left" w:pos="4590"/>
        </w:tabs>
        <w:jc w:val="center"/>
        <w:rPr>
          <w:b/>
          <w:bCs/>
          <w:sz w:val="28"/>
          <w:szCs w:val="28"/>
        </w:rPr>
      </w:pPr>
      <w:r w:rsidRPr="003250A1">
        <w:rPr>
          <w:b/>
          <w:bCs/>
          <w:sz w:val="28"/>
          <w:szCs w:val="28"/>
        </w:rPr>
        <w:t>Tax Bill Breakdown</w:t>
      </w:r>
    </w:p>
    <w:p w:rsidR="00E25F92" w:rsidRPr="006828AB" w:rsidRDefault="00E25F92" w:rsidP="00B205C4">
      <w:pPr>
        <w:pStyle w:val="Header"/>
        <w:tabs>
          <w:tab w:val="clear" w:pos="4320"/>
          <w:tab w:val="clear" w:pos="8640"/>
          <w:tab w:val="left" w:pos="4590"/>
        </w:tabs>
        <w:jc w:val="center"/>
        <w:rPr>
          <w:b/>
          <w:bCs/>
          <w:sz w:val="28"/>
          <w:szCs w:val="28"/>
          <w:highlight w:val="yellow"/>
        </w:rPr>
      </w:pPr>
    </w:p>
    <w:p w:rsidR="00B205C4" w:rsidRPr="006828AB" w:rsidRDefault="00DF64B8" w:rsidP="00B205C4">
      <w:pPr>
        <w:pStyle w:val="Header"/>
        <w:tabs>
          <w:tab w:val="clear" w:pos="4320"/>
          <w:tab w:val="clear" w:pos="8640"/>
          <w:tab w:val="left" w:pos="4590"/>
        </w:tabs>
        <w:jc w:val="center"/>
        <w:rPr>
          <w:b/>
          <w:bCs/>
          <w:sz w:val="24"/>
          <w:szCs w:val="24"/>
          <w:highlight w:val="yellow"/>
        </w:rPr>
      </w:pPr>
      <w:r w:rsidRPr="006828AB">
        <w:rPr>
          <w:b/>
          <w:noProof/>
          <w:sz w:val="24"/>
          <w:szCs w:val="24"/>
          <w:highlight w:val="yellow"/>
        </w:rPr>
        <w:drawing>
          <wp:inline distT="0" distB="0" distL="0" distR="0">
            <wp:extent cx="5667375" cy="2428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7375" cy="2428875"/>
                    </a:xfrm>
                    <a:prstGeom prst="rect">
                      <a:avLst/>
                    </a:prstGeom>
                    <a:noFill/>
                    <a:ln>
                      <a:noFill/>
                    </a:ln>
                  </pic:spPr>
                </pic:pic>
              </a:graphicData>
            </a:graphic>
          </wp:inline>
        </w:drawing>
      </w:r>
    </w:p>
    <w:p w:rsidR="0094209A" w:rsidRPr="007C1E79" w:rsidRDefault="00E25F92" w:rsidP="00791B2C">
      <w:pPr>
        <w:pStyle w:val="Header"/>
        <w:tabs>
          <w:tab w:val="clear" w:pos="4320"/>
          <w:tab w:val="clear" w:pos="8640"/>
          <w:tab w:val="left" w:pos="720"/>
          <w:tab w:val="left" w:pos="1440"/>
          <w:tab w:val="left" w:pos="2160"/>
          <w:tab w:val="left" w:pos="4590"/>
          <w:tab w:val="left" w:pos="5220"/>
          <w:tab w:val="left" w:pos="7110"/>
          <w:tab w:val="left" w:pos="7740"/>
          <w:tab w:val="left" w:pos="8460"/>
        </w:tabs>
        <w:ind w:right="-486"/>
        <w:rPr>
          <w:b/>
          <w:bCs/>
          <w:sz w:val="24"/>
          <w:szCs w:val="24"/>
        </w:rPr>
      </w:pPr>
      <w:r w:rsidRPr="007C1E79">
        <w:rPr>
          <w:b/>
          <w:bCs/>
          <w:sz w:val="22"/>
          <w:szCs w:val="22"/>
        </w:rPr>
        <w:tab/>
      </w:r>
      <w:r w:rsidR="0015297F" w:rsidRPr="007C1E79">
        <w:rPr>
          <w:b/>
          <w:bCs/>
          <w:sz w:val="24"/>
          <w:szCs w:val="24"/>
          <w:u w:val="single"/>
        </w:rPr>
        <w:t>School Districts</w:t>
      </w:r>
      <w:r w:rsidR="00291317" w:rsidRPr="007C1E79">
        <w:rPr>
          <w:b/>
          <w:bCs/>
          <w:sz w:val="22"/>
          <w:szCs w:val="22"/>
        </w:rPr>
        <w:tab/>
      </w:r>
      <w:r w:rsidR="00291317" w:rsidRPr="007C1E79">
        <w:rPr>
          <w:b/>
          <w:bCs/>
          <w:sz w:val="22"/>
          <w:szCs w:val="22"/>
        </w:rPr>
        <w:tab/>
        <w:t xml:space="preserve"> </w:t>
      </w:r>
      <w:r w:rsidR="0080147F" w:rsidRPr="007C1E79">
        <w:rPr>
          <w:b/>
          <w:bCs/>
          <w:sz w:val="22"/>
          <w:szCs w:val="22"/>
        </w:rPr>
        <w:t xml:space="preserve">    </w:t>
      </w:r>
      <w:r w:rsidR="0015297F" w:rsidRPr="007C1E79">
        <w:rPr>
          <w:b/>
          <w:bCs/>
          <w:sz w:val="24"/>
          <w:szCs w:val="24"/>
        </w:rPr>
        <w:t xml:space="preserve">Village </w:t>
      </w:r>
      <w:r w:rsidR="008A400C" w:rsidRPr="007C1E79">
        <w:rPr>
          <w:b/>
          <w:bCs/>
          <w:sz w:val="24"/>
          <w:szCs w:val="24"/>
        </w:rPr>
        <w:t>40</w:t>
      </w:r>
      <w:r w:rsidR="0015297F" w:rsidRPr="007C1E79">
        <w:rPr>
          <w:b/>
          <w:bCs/>
          <w:sz w:val="24"/>
          <w:szCs w:val="24"/>
        </w:rPr>
        <w:t>%</w:t>
      </w:r>
      <w:r w:rsidR="0015297F" w:rsidRPr="007C1E79">
        <w:rPr>
          <w:b/>
          <w:bCs/>
          <w:sz w:val="22"/>
          <w:szCs w:val="22"/>
        </w:rPr>
        <w:tab/>
      </w:r>
      <w:r w:rsidR="0080147F" w:rsidRPr="007C1E79">
        <w:rPr>
          <w:b/>
          <w:bCs/>
          <w:sz w:val="22"/>
          <w:szCs w:val="22"/>
        </w:rPr>
        <w:t xml:space="preserve">  </w:t>
      </w:r>
      <w:r w:rsidR="00291317" w:rsidRPr="007C1E79">
        <w:rPr>
          <w:b/>
          <w:bCs/>
          <w:sz w:val="22"/>
          <w:szCs w:val="22"/>
        </w:rPr>
        <w:t xml:space="preserve"> </w:t>
      </w:r>
      <w:r w:rsidR="0080147F" w:rsidRPr="007C1E79">
        <w:rPr>
          <w:b/>
          <w:bCs/>
          <w:sz w:val="22"/>
          <w:szCs w:val="22"/>
        </w:rPr>
        <w:t xml:space="preserve"> </w:t>
      </w:r>
      <w:r w:rsidR="00676103" w:rsidRPr="007C1E79">
        <w:rPr>
          <w:b/>
          <w:bCs/>
          <w:sz w:val="22"/>
          <w:szCs w:val="22"/>
        </w:rPr>
        <w:t xml:space="preserve"> </w:t>
      </w:r>
      <w:r w:rsidR="00291317" w:rsidRPr="007C1E79">
        <w:rPr>
          <w:b/>
          <w:bCs/>
          <w:sz w:val="24"/>
          <w:szCs w:val="24"/>
        </w:rPr>
        <w:t xml:space="preserve">Cook   </w:t>
      </w:r>
      <w:r w:rsidR="0015297F" w:rsidRPr="007C1E79">
        <w:rPr>
          <w:b/>
          <w:bCs/>
          <w:sz w:val="24"/>
          <w:szCs w:val="24"/>
        </w:rPr>
        <w:t>Lib</w:t>
      </w:r>
      <w:r w:rsidR="001578B1" w:rsidRPr="007C1E79">
        <w:rPr>
          <w:b/>
          <w:bCs/>
          <w:sz w:val="24"/>
          <w:szCs w:val="24"/>
        </w:rPr>
        <w:t>.</w:t>
      </w:r>
      <w:r w:rsidR="00791B2C" w:rsidRPr="007C1E79">
        <w:rPr>
          <w:b/>
          <w:bCs/>
          <w:sz w:val="24"/>
          <w:szCs w:val="24"/>
        </w:rPr>
        <w:tab/>
        <w:t>Rich</w:t>
      </w:r>
    </w:p>
    <w:p w:rsidR="0094209A" w:rsidRPr="007C1E79" w:rsidRDefault="0015297F" w:rsidP="00C711C7">
      <w:pPr>
        <w:pStyle w:val="Header"/>
        <w:tabs>
          <w:tab w:val="clear" w:pos="4320"/>
          <w:tab w:val="clear" w:pos="8640"/>
          <w:tab w:val="left" w:pos="720"/>
          <w:tab w:val="left" w:pos="1440"/>
          <w:tab w:val="left" w:pos="2700"/>
          <w:tab w:val="left" w:pos="3420"/>
          <w:tab w:val="left" w:pos="4590"/>
          <w:tab w:val="left" w:pos="7110"/>
          <w:tab w:val="left" w:pos="7740"/>
          <w:tab w:val="left" w:pos="8460"/>
        </w:tabs>
        <w:ind w:right="-666"/>
        <w:rPr>
          <w:bCs/>
          <w:sz w:val="22"/>
          <w:szCs w:val="22"/>
        </w:rPr>
      </w:pPr>
      <w:r w:rsidRPr="007C1E79">
        <w:rPr>
          <w:bCs/>
          <w:sz w:val="22"/>
          <w:szCs w:val="22"/>
        </w:rPr>
        <w:tab/>
      </w:r>
      <w:r w:rsidRPr="007C1E79">
        <w:rPr>
          <w:bCs/>
          <w:sz w:val="24"/>
          <w:szCs w:val="24"/>
        </w:rPr>
        <w:t>District 163</w:t>
      </w:r>
      <w:r w:rsidRPr="007C1E79">
        <w:rPr>
          <w:bCs/>
          <w:sz w:val="24"/>
          <w:szCs w:val="24"/>
        </w:rPr>
        <w:tab/>
      </w:r>
      <w:r w:rsidRPr="007C1E79">
        <w:rPr>
          <w:bCs/>
          <w:sz w:val="24"/>
          <w:szCs w:val="24"/>
        </w:rPr>
        <w:tab/>
      </w:r>
      <w:r w:rsidR="002932C3" w:rsidRPr="007C1E79">
        <w:rPr>
          <w:bCs/>
          <w:sz w:val="24"/>
          <w:szCs w:val="24"/>
        </w:rPr>
        <w:t>3</w:t>
      </w:r>
      <w:r w:rsidR="00494F98" w:rsidRPr="007C1E79">
        <w:rPr>
          <w:bCs/>
          <w:sz w:val="24"/>
          <w:szCs w:val="24"/>
        </w:rPr>
        <w:t>7</w:t>
      </w:r>
      <w:r w:rsidRPr="007C1E79">
        <w:rPr>
          <w:bCs/>
          <w:sz w:val="24"/>
          <w:szCs w:val="24"/>
        </w:rPr>
        <w:t>%</w:t>
      </w:r>
      <w:r w:rsidRPr="007C1E79">
        <w:rPr>
          <w:bCs/>
          <w:sz w:val="22"/>
          <w:szCs w:val="22"/>
        </w:rPr>
        <w:tab/>
      </w:r>
      <w:r w:rsidRPr="007C1E79">
        <w:rPr>
          <w:bCs/>
          <w:sz w:val="22"/>
          <w:szCs w:val="22"/>
        </w:rPr>
        <w:tab/>
      </w:r>
      <w:r w:rsidR="00291317" w:rsidRPr="007C1E79">
        <w:rPr>
          <w:b/>
          <w:bCs/>
          <w:sz w:val="22"/>
          <w:szCs w:val="22"/>
        </w:rPr>
        <w:t xml:space="preserve"> </w:t>
      </w:r>
      <w:r w:rsidR="0080147F" w:rsidRPr="007C1E79">
        <w:rPr>
          <w:b/>
          <w:bCs/>
          <w:sz w:val="22"/>
          <w:szCs w:val="22"/>
        </w:rPr>
        <w:t xml:space="preserve">   </w:t>
      </w:r>
      <w:r w:rsidR="00676103" w:rsidRPr="007C1E79">
        <w:rPr>
          <w:b/>
          <w:bCs/>
          <w:sz w:val="22"/>
          <w:szCs w:val="22"/>
        </w:rPr>
        <w:t xml:space="preserve"> </w:t>
      </w:r>
      <w:r w:rsidRPr="007C1E79">
        <w:rPr>
          <w:b/>
          <w:bCs/>
          <w:sz w:val="24"/>
          <w:szCs w:val="24"/>
        </w:rPr>
        <w:t>Cty</w:t>
      </w:r>
      <w:r w:rsidR="001578B1" w:rsidRPr="007C1E79">
        <w:rPr>
          <w:b/>
          <w:bCs/>
          <w:sz w:val="24"/>
          <w:szCs w:val="24"/>
        </w:rPr>
        <w:t>.</w:t>
      </w:r>
      <w:r w:rsidR="00676103" w:rsidRPr="007C1E79">
        <w:rPr>
          <w:b/>
          <w:bCs/>
          <w:sz w:val="22"/>
          <w:szCs w:val="22"/>
        </w:rPr>
        <w:t xml:space="preserve">     </w:t>
      </w:r>
      <w:r w:rsidR="00C711C7" w:rsidRPr="007C1E79">
        <w:rPr>
          <w:b/>
          <w:bCs/>
          <w:sz w:val="22"/>
          <w:szCs w:val="22"/>
        </w:rPr>
        <w:t xml:space="preserve"> </w:t>
      </w:r>
      <w:r w:rsidR="007C1E79" w:rsidRPr="007C1E79">
        <w:rPr>
          <w:b/>
          <w:bCs/>
          <w:sz w:val="22"/>
          <w:szCs w:val="22"/>
        </w:rPr>
        <w:t>5</w:t>
      </w:r>
      <w:r w:rsidR="00291317" w:rsidRPr="007C1E79">
        <w:rPr>
          <w:b/>
          <w:bCs/>
          <w:sz w:val="24"/>
          <w:szCs w:val="24"/>
        </w:rPr>
        <w:t>%</w:t>
      </w:r>
      <w:r w:rsidR="00676103" w:rsidRPr="007C1E79">
        <w:rPr>
          <w:b/>
          <w:bCs/>
          <w:sz w:val="22"/>
          <w:szCs w:val="22"/>
        </w:rPr>
        <w:t xml:space="preserve">  </w:t>
      </w:r>
      <w:r w:rsidR="00791B2C" w:rsidRPr="007C1E79">
        <w:rPr>
          <w:b/>
          <w:bCs/>
          <w:sz w:val="22"/>
          <w:szCs w:val="22"/>
        </w:rPr>
        <w:t>Twp.</w:t>
      </w:r>
      <w:r w:rsidR="00676103" w:rsidRPr="007C1E79">
        <w:rPr>
          <w:b/>
          <w:bCs/>
          <w:sz w:val="22"/>
          <w:szCs w:val="22"/>
        </w:rPr>
        <w:t xml:space="preserve"> </w:t>
      </w:r>
      <w:r w:rsidR="00791B2C" w:rsidRPr="007C1E79">
        <w:rPr>
          <w:b/>
          <w:bCs/>
          <w:sz w:val="22"/>
          <w:szCs w:val="22"/>
        </w:rPr>
        <w:t>&amp;</w:t>
      </w:r>
    </w:p>
    <w:p w:rsidR="00F00D49" w:rsidRPr="007C1E79" w:rsidRDefault="0015297F" w:rsidP="00C711C7">
      <w:pPr>
        <w:pStyle w:val="Header"/>
        <w:tabs>
          <w:tab w:val="clear" w:pos="4320"/>
          <w:tab w:val="clear" w:pos="8640"/>
          <w:tab w:val="left" w:pos="720"/>
          <w:tab w:val="left" w:pos="1440"/>
          <w:tab w:val="left" w:pos="3420"/>
          <w:tab w:val="left" w:pos="4590"/>
          <w:tab w:val="left" w:pos="7740"/>
          <w:tab w:val="left" w:pos="8460"/>
        </w:tabs>
        <w:ind w:right="-936"/>
        <w:rPr>
          <w:bCs/>
          <w:sz w:val="24"/>
          <w:szCs w:val="24"/>
        </w:rPr>
      </w:pPr>
      <w:r w:rsidRPr="007C1E79">
        <w:rPr>
          <w:bCs/>
          <w:sz w:val="22"/>
          <w:szCs w:val="22"/>
        </w:rPr>
        <w:tab/>
        <w:t>Prairie State</w:t>
      </w:r>
      <w:r w:rsidRPr="007C1E79">
        <w:rPr>
          <w:bCs/>
          <w:sz w:val="22"/>
          <w:szCs w:val="22"/>
        </w:rPr>
        <w:tab/>
      </w:r>
      <w:r w:rsidR="00291317" w:rsidRPr="007C1E79">
        <w:rPr>
          <w:bCs/>
          <w:sz w:val="24"/>
          <w:szCs w:val="24"/>
        </w:rPr>
        <w:t xml:space="preserve">  1</w:t>
      </w:r>
      <w:r w:rsidRPr="007C1E79">
        <w:rPr>
          <w:bCs/>
          <w:sz w:val="24"/>
          <w:szCs w:val="24"/>
        </w:rPr>
        <w:t>%</w:t>
      </w:r>
      <w:r w:rsidRPr="007C1E79">
        <w:rPr>
          <w:bCs/>
          <w:sz w:val="22"/>
          <w:szCs w:val="22"/>
        </w:rPr>
        <w:tab/>
      </w:r>
      <w:r w:rsidR="00291317" w:rsidRPr="007C1E79">
        <w:rPr>
          <w:bCs/>
          <w:sz w:val="24"/>
          <w:szCs w:val="24"/>
        </w:rPr>
        <w:t xml:space="preserve">                                               </w:t>
      </w:r>
      <w:r w:rsidR="007C1E79" w:rsidRPr="007C1E79">
        <w:rPr>
          <w:b/>
          <w:bCs/>
          <w:sz w:val="24"/>
          <w:szCs w:val="24"/>
        </w:rPr>
        <w:t>1</w:t>
      </w:r>
      <w:r w:rsidRPr="007C1E79">
        <w:rPr>
          <w:b/>
          <w:bCs/>
          <w:sz w:val="24"/>
          <w:szCs w:val="24"/>
        </w:rPr>
        <w:t>%</w:t>
      </w:r>
      <w:r w:rsidR="00791B2C" w:rsidRPr="007C1E79">
        <w:rPr>
          <w:b/>
          <w:bCs/>
          <w:sz w:val="24"/>
          <w:szCs w:val="24"/>
        </w:rPr>
        <w:tab/>
      </w:r>
      <w:r w:rsidR="00C00FF2" w:rsidRPr="007C1E79">
        <w:rPr>
          <w:b/>
          <w:bCs/>
          <w:sz w:val="24"/>
          <w:szCs w:val="24"/>
        </w:rPr>
        <w:t xml:space="preserve"> </w:t>
      </w:r>
      <w:r w:rsidR="00791B2C" w:rsidRPr="007C1E79">
        <w:rPr>
          <w:b/>
          <w:bCs/>
          <w:sz w:val="24"/>
          <w:szCs w:val="24"/>
        </w:rPr>
        <w:t xml:space="preserve">Other </w:t>
      </w:r>
      <w:r w:rsidR="00AC382B" w:rsidRPr="007C1E79">
        <w:rPr>
          <w:b/>
          <w:bCs/>
          <w:sz w:val="24"/>
          <w:szCs w:val="24"/>
        </w:rPr>
        <w:t>1</w:t>
      </w:r>
      <w:r w:rsidR="00791B2C" w:rsidRPr="007C1E79">
        <w:rPr>
          <w:b/>
          <w:bCs/>
          <w:sz w:val="22"/>
          <w:szCs w:val="22"/>
        </w:rPr>
        <w:t>%</w:t>
      </w:r>
    </w:p>
    <w:p w:rsidR="00E144F4" w:rsidRPr="007C1E79" w:rsidRDefault="0015297F" w:rsidP="00E144F4">
      <w:pPr>
        <w:pStyle w:val="Header"/>
        <w:tabs>
          <w:tab w:val="clear" w:pos="4320"/>
          <w:tab w:val="clear" w:pos="8640"/>
          <w:tab w:val="left" w:pos="720"/>
          <w:tab w:val="left" w:pos="1440"/>
          <w:tab w:val="left" w:pos="3420"/>
          <w:tab w:val="left" w:pos="4590"/>
          <w:tab w:val="left" w:pos="7740"/>
          <w:tab w:val="left" w:pos="8460"/>
        </w:tabs>
        <w:ind w:right="-486"/>
        <w:rPr>
          <w:bCs/>
          <w:sz w:val="24"/>
          <w:szCs w:val="24"/>
          <w:u w:val="single"/>
        </w:rPr>
      </w:pPr>
      <w:r w:rsidRPr="007C1E79">
        <w:rPr>
          <w:bCs/>
          <w:sz w:val="24"/>
          <w:szCs w:val="24"/>
        </w:rPr>
        <w:tab/>
        <w:t>District 227</w:t>
      </w:r>
      <w:r w:rsidRPr="007C1E79">
        <w:rPr>
          <w:bCs/>
          <w:sz w:val="24"/>
          <w:szCs w:val="24"/>
        </w:rPr>
        <w:tab/>
      </w:r>
      <w:r w:rsidR="00A501F9" w:rsidRPr="007C1E79">
        <w:rPr>
          <w:bCs/>
          <w:sz w:val="24"/>
          <w:szCs w:val="24"/>
          <w:u w:val="single"/>
        </w:rPr>
        <w:t>1</w:t>
      </w:r>
      <w:r w:rsidR="00494F98" w:rsidRPr="007C1E79">
        <w:rPr>
          <w:bCs/>
          <w:sz w:val="24"/>
          <w:szCs w:val="24"/>
          <w:u w:val="single"/>
        </w:rPr>
        <w:t>5</w:t>
      </w:r>
      <w:r w:rsidRPr="007C1E79">
        <w:rPr>
          <w:bCs/>
          <w:sz w:val="24"/>
          <w:szCs w:val="24"/>
          <w:u w:val="single"/>
        </w:rPr>
        <w:t>%</w:t>
      </w:r>
    </w:p>
    <w:p w:rsidR="0015297F" w:rsidRPr="007C1E79" w:rsidRDefault="0015297F" w:rsidP="00E144F4">
      <w:pPr>
        <w:pStyle w:val="Header"/>
        <w:tabs>
          <w:tab w:val="clear" w:pos="4320"/>
          <w:tab w:val="clear" w:pos="8640"/>
          <w:tab w:val="left" w:pos="720"/>
          <w:tab w:val="left" w:pos="1440"/>
          <w:tab w:val="left" w:pos="3420"/>
          <w:tab w:val="left" w:pos="4590"/>
          <w:tab w:val="left" w:pos="7740"/>
          <w:tab w:val="left" w:pos="8460"/>
        </w:tabs>
        <w:ind w:right="-486"/>
        <w:rPr>
          <w:b/>
          <w:bCs/>
          <w:sz w:val="24"/>
          <w:szCs w:val="24"/>
        </w:rPr>
      </w:pPr>
      <w:r w:rsidRPr="007C1E79">
        <w:rPr>
          <w:bCs/>
          <w:sz w:val="22"/>
          <w:szCs w:val="22"/>
        </w:rPr>
        <w:tab/>
      </w:r>
      <w:r w:rsidRPr="007C1E79">
        <w:rPr>
          <w:b/>
          <w:bCs/>
          <w:sz w:val="24"/>
          <w:szCs w:val="24"/>
        </w:rPr>
        <w:t>Total School Districts</w:t>
      </w:r>
      <w:r w:rsidRPr="007C1E79">
        <w:rPr>
          <w:b/>
          <w:bCs/>
          <w:sz w:val="24"/>
          <w:szCs w:val="24"/>
        </w:rPr>
        <w:tab/>
      </w:r>
      <w:r w:rsidR="00291317" w:rsidRPr="007C1E79">
        <w:rPr>
          <w:b/>
          <w:bCs/>
          <w:sz w:val="24"/>
          <w:szCs w:val="24"/>
        </w:rPr>
        <w:t>5</w:t>
      </w:r>
      <w:r w:rsidR="008A400C" w:rsidRPr="007C1E79">
        <w:rPr>
          <w:b/>
          <w:bCs/>
          <w:sz w:val="24"/>
          <w:szCs w:val="24"/>
        </w:rPr>
        <w:t>3</w:t>
      </w:r>
      <w:r w:rsidRPr="007C1E79">
        <w:rPr>
          <w:b/>
          <w:bCs/>
          <w:sz w:val="24"/>
          <w:szCs w:val="24"/>
        </w:rPr>
        <w:t>%</w:t>
      </w:r>
    </w:p>
    <w:p w:rsidR="0080147F" w:rsidRPr="007C1E79" w:rsidRDefault="0080147F">
      <w:pPr>
        <w:pStyle w:val="Header"/>
        <w:tabs>
          <w:tab w:val="clear" w:pos="4320"/>
          <w:tab w:val="clear" w:pos="8640"/>
          <w:tab w:val="left" w:pos="4590"/>
        </w:tabs>
        <w:rPr>
          <w:b/>
          <w:bCs/>
          <w:sz w:val="24"/>
          <w:u w:val="single"/>
        </w:rPr>
      </w:pPr>
    </w:p>
    <w:p w:rsidR="007A6D8C" w:rsidRPr="006828AB" w:rsidRDefault="007A6D8C">
      <w:pPr>
        <w:pStyle w:val="Header"/>
        <w:tabs>
          <w:tab w:val="clear" w:pos="4320"/>
          <w:tab w:val="clear" w:pos="8640"/>
          <w:tab w:val="left" w:pos="4590"/>
        </w:tabs>
        <w:rPr>
          <w:b/>
          <w:bCs/>
          <w:sz w:val="24"/>
          <w:highlight w:val="yellow"/>
          <w:u w:val="single"/>
        </w:rPr>
      </w:pPr>
    </w:p>
    <w:p w:rsidR="00BF34E3" w:rsidRPr="007C1E79" w:rsidRDefault="00BF34E3">
      <w:pPr>
        <w:pStyle w:val="Header"/>
        <w:tabs>
          <w:tab w:val="clear" w:pos="4320"/>
          <w:tab w:val="clear" w:pos="8640"/>
          <w:tab w:val="left" w:pos="4590"/>
        </w:tabs>
        <w:rPr>
          <w:b/>
          <w:bCs/>
          <w:sz w:val="24"/>
          <w:u w:val="single"/>
        </w:rPr>
      </w:pPr>
      <w:r w:rsidRPr="007C1E79">
        <w:rPr>
          <w:b/>
          <w:bCs/>
          <w:sz w:val="24"/>
          <w:u w:val="single"/>
        </w:rPr>
        <w:lastRenderedPageBreak/>
        <w:t xml:space="preserve">Sales </w:t>
      </w:r>
      <w:r w:rsidR="001370E6" w:rsidRPr="007C1E79">
        <w:rPr>
          <w:b/>
          <w:bCs/>
          <w:sz w:val="24"/>
          <w:u w:val="single"/>
        </w:rPr>
        <w:t xml:space="preserve">and Use </w:t>
      </w:r>
      <w:r w:rsidRPr="007C1E79">
        <w:rPr>
          <w:b/>
          <w:bCs/>
          <w:sz w:val="24"/>
          <w:u w:val="single"/>
        </w:rPr>
        <w:t>Tax</w:t>
      </w:r>
    </w:p>
    <w:p w:rsidR="00BF34E3" w:rsidRPr="007C1E79" w:rsidRDefault="00BF34E3">
      <w:pPr>
        <w:tabs>
          <w:tab w:val="left" w:pos="5850"/>
        </w:tabs>
        <w:rPr>
          <w:b/>
          <w:sz w:val="16"/>
          <w:szCs w:val="16"/>
        </w:rPr>
      </w:pPr>
    </w:p>
    <w:p w:rsidR="00441005" w:rsidRPr="00D86A40" w:rsidRDefault="001370E6" w:rsidP="00E6413F">
      <w:pPr>
        <w:tabs>
          <w:tab w:val="left" w:pos="709"/>
          <w:tab w:val="left" w:pos="1440"/>
          <w:tab w:val="left" w:pos="2160"/>
          <w:tab w:val="left" w:pos="2880"/>
          <w:tab w:val="left" w:pos="3600"/>
          <w:tab w:val="left" w:pos="4320"/>
          <w:tab w:val="left" w:pos="5850"/>
        </w:tabs>
        <w:rPr>
          <w:sz w:val="24"/>
          <w:szCs w:val="24"/>
        </w:rPr>
      </w:pPr>
      <w:r w:rsidRPr="007C1E79">
        <w:rPr>
          <w:sz w:val="24"/>
        </w:rPr>
        <w:t xml:space="preserve">Sales Tax relates to items sold within Park Forest.  </w:t>
      </w:r>
      <w:r w:rsidR="00BF34E3" w:rsidRPr="00D86A40">
        <w:rPr>
          <w:sz w:val="24"/>
        </w:rPr>
        <w:t xml:space="preserve">Sales tax revenue for the Village </w:t>
      </w:r>
      <w:r w:rsidR="007C1E79" w:rsidRPr="00D86A40">
        <w:rPr>
          <w:sz w:val="24"/>
        </w:rPr>
        <w:t xml:space="preserve">was relatively flat for several years but, in FY 19/20, </w:t>
      </w:r>
      <w:r w:rsidR="00D86A40" w:rsidRPr="00D86A40">
        <w:rPr>
          <w:sz w:val="24"/>
        </w:rPr>
        <w:t>there was about a 14% increase over the annual average.  FY 21/22 saw an increase of over 16% from the previous year.</w:t>
      </w:r>
      <w:r w:rsidR="008E452D" w:rsidRPr="00D86A40">
        <w:rPr>
          <w:sz w:val="24"/>
        </w:rPr>
        <w:t xml:space="preserve">  </w:t>
      </w:r>
      <w:r w:rsidR="008B7332" w:rsidRPr="00D86A40">
        <w:rPr>
          <w:sz w:val="24"/>
        </w:rPr>
        <w:t>During this time, the only new business that generates significant sales taxes is</w:t>
      </w:r>
      <w:r w:rsidR="002274CE" w:rsidRPr="00D86A40">
        <w:rPr>
          <w:sz w:val="24"/>
        </w:rPr>
        <w:t xml:space="preserve"> </w:t>
      </w:r>
      <w:r w:rsidR="00327871" w:rsidRPr="00D86A40">
        <w:rPr>
          <w:sz w:val="24"/>
        </w:rPr>
        <w:t>Dollar General</w:t>
      </w:r>
      <w:r w:rsidR="0057063F" w:rsidRPr="00D86A40">
        <w:rPr>
          <w:sz w:val="24"/>
        </w:rPr>
        <w:t>,</w:t>
      </w:r>
      <w:r w:rsidR="00327871" w:rsidRPr="00D86A40">
        <w:rPr>
          <w:sz w:val="24"/>
        </w:rPr>
        <w:t xml:space="preserve"> </w:t>
      </w:r>
      <w:r w:rsidR="008B7332" w:rsidRPr="00D86A40">
        <w:rPr>
          <w:sz w:val="24"/>
        </w:rPr>
        <w:t xml:space="preserve">opened </w:t>
      </w:r>
      <w:r w:rsidR="002274CE" w:rsidRPr="00D86A40">
        <w:rPr>
          <w:sz w:val="24"/>
        </w:rPr>
        <w:t>in 2013</w:t>
      </w:r>
      <w:r w:rsidR="00376C29" w:rsidRPr="00D86A40">
        <w:rPr>
          <w:sz w:val="24"/>
        </w:rPr>
        <w:t>.</w:t>
      </w:r>
      <w:r w:rsidR="002274CE" w:rsidRPr="00D86A40">
        <w:rPr>
          <w:b/>
          <w:i/>
          <w:sz w:val="24"/>
        </w:rPr>
        <w:t xml:space="preserve"> </w:t>
      </w:r>
      <w:r w:rsidR="00376C29" w:rsidRPr="00D86A40">
        <w:rPr>
          <w:sz w:val="24"/>
        </w:rPr>
        <w:t xml:space="preserve"> </w:t>
      </w:r>
      <w:r w:rsidR="001F7CE7" w:rsidRPr="00D86A40">
        <w:rPr>
          <w:sz w:val="24"/>
        </w:rPr>
        <w:t>In addition</w:t>
      </w:r>
      <w:r w:rsidR="0057063F" w:rsidRPr="00D86A40">
        <w:rPr>
          <w:sz w:val="24"/>
        </w:rPr>
        <w:t>,</w:t>
      </w:r>
      <w:r w:rsidR="001F7CE7" w:rsidRPr="00D86A40">
        <w:rPr>
          <w:sz w:val="24"/>
        </w:rPr>
        <w:t xml:space="preserve"> video gaming is currently generating </w:t>
      </w:r>
      <w:r w:rsidR="00895AE8" w:rsidRPr="00D86A40">
        <w:rPr>
          <w:sz w:val="24"/>
        </w:rPr>
        <w:t>almost</w:t>
      </w:r>
      <w:r w:rsidR="001F7CE7" w:rsidRPr="00D86A40">
        <w:rPr>
          <w:sz w:val="24"/>
        </w:rPr>
        <w:t xml:space="preserve"> $</w:t>
      </w:r>
      <w:r w:rsidR="00D86A40" w:rsidRPr="00D86A40">
        <w:rPr>
          <w:sz w:val="24"/>
        </w:rPr>
        <w:t>63</w:t>
      </w:r>
      <w:r w:rsidR="001F7CE7" w:rsidRPr="00D86A40">
        <w:rPr>
          <w:sz w:val="24"/>
        </w:rPr>
        <w:t>,000 per year</w:t>
      </w:r>
      <w:r w:rsidR="00327871" w:rsidRPr="00D86A40">
        <w:rPr>
          <w:sz w:val="24"/>
        </w:rPr>
        <w:t>.</w:t>
      </w:r>
      <w:r w:rsidR="00740DBD" w:rsidRPr="00D86A40">
        <w:rPr>
          <w:sz w:val="24"/>
        </w:rPr>
        <w:t xml:space="preserve"> </w:t>
      </w:r>
      <w:r w:rsidR="00740DBD" w:rsidRPr="00D86A40">
        <w:rPr>
          <w:b/>
          <w:i/>
          <w:sz w:val="24"/>
        </w:rPr>
        <w:t xml:space="preserve"> </w:t>
      </w:r>
      <w:r w:rsidR="00441005" w:rsidRPr="00D86A40">
        <w:rPr>
          <w:sz w:val="24"/>
        </w:rPr>
        <w:t xml:space="preserve">Use tax </w:t>
      </w:r>
      <w:r w:rsidR="0008284D" w:rsidRPr="00D86A40">
        <w:rPr>
          <w:sz w:val="24"/>
        </w:rPr>
        <w:t>is</w:t>
      </w:r>
      <w:r w:rsidR="00441005" w:rsidRPr="00D86A40">
        <w:rPr>
          <w:sz w:val="24"/>
        </w:rPr>
        <w:t xml:space="preserve"> the Village’s share of tax on items purchased outside the </w:t>
      </w:r>
      <w:r w:rsidR="003C2F59" w:rsidRPr="00D86A40">
        <w:rPr>
          <w:sz w:val="24"/>
        </w:rPr>
        <w:t>S</w:t>
      </w:r>
      <w:r w:rsidR="00441005" w:rsidRPr="00D86A40">
        <w:rPr>
          <w:sz w:val="24"/>
        </w:rPr>
        <w:t>tate of Illinois</w:t>
      </w:r>
      <w:r w:rsidR="00FC5E93" w:rsidRPr="00D86A40">
        <w:rPr>
          <w:sz w:val="24"/>
        </w:rPr>
        <w:t xml:space="preserve"> </w:t>
      </w:r>
      <w:r w:rsidR="00A143A7" w:rsidRPr="00D86A40">
        <w:rPr>
          <w:sz w:val="24"/>
        </w:rPr>
        <w:t>then</w:t>
      </w:r>
      <w:r w:rsidR="00FC5E93" w:rsidRPr="00D86A40">
        <w:rPr>
          <w:sz w:val="24"/>
        </w:rPr>
        <w:t xml:space="preserve"> used in Illinois</w:t>
      </w:r>
      <w:r w:rsidR="00A143A7" w:rsidRPr="00D86A40">
        <w:rPr>
          <w:sz w:val="24"/>
        </w:rPr>
        <w:t xml:space="preserve"> and</w:t>
      </w:r>
      <w:r w:rsidR="00FC5E93" w:rsidRPr="00D86A40">
        <w:rPr>
          <w:sz w:val="24"/>
        </w:rPr>
        <w:t xml:space="preserve"> is allocated on a per capita </w:t>
      </w:r>
      <w:r w:rsidR="00895AE8" w:rsidRPr="00D86A40">
        <w:rPr>
          <w:sz w:val="24"/>
        </w:rPr>
        <w:t>basis</w:t>
      </w:r>
      <w:r w:rsidR="00FC5E93" w:rsidRPr="00D86A40">
        <w:rPr>
          <w:sz w:val="24"/>
        </w:rPr>
        <w:t>.</w:t>
      </w:r>
      <w:r w:rsidR="00540615" w:rsidRPr="00D86A40">
        <w:rPr>
          <w:sz w:val="24"/>
        </w:rPr>
        <w:t xml:space="preserve">  Also in use tax is internet sales tax, which is also allocated on a per capita basis.  Use tax has been the </w:t>
      </w:r>
      <w:r w:rsidR="00D86A40" w:rsidRPr="00D86A40">
        <w:rPr>
          <w:sz w:val="24"/>
        </w:rPr>
        <w:t>major reason</w:t>
      </w:r>
      <w:r w:rsidR="00540615" w:rsidRPr="00D86A40">
        <w:rPr>
          <w:sz w:val="24"/>
        </w:rPr>
        <w:t xml:space="preserve"> that has caused the increasing trend in combined sales and use taxes for the Village over the last ten years</w:t>
      </w:r>
      <w:r w:rsidR="00AC76D7" w:rsidRPr="00D86A40">
        <w:rPr>
          <w:sz w:val="24"/>
        </w:rPr>
        <w:t>, particularly since February, 2020, when the COVID-19 pandemic took hold</w:t>
      </w:r>
      <w:r w:rsidR="00540615" w:rsidRPr="00D86A40">
        <w:rPr>
          <w:sz w:val="24"/>
        </w:rPr>
        <w:t>.</w:t>
      </w:r>
      <w:r w:rsidR="00D86A40" w:rsidRPr="00D86A40">
        <w:rPr>
          <w:sz w:val="24"/>
        </w:rPr>
        <w:t xml:space="preserve">  However, combines sales and use taxes continue to increase even though the pandemic has greatly subsided.</w:t>
      </w:r>
      <w:r w:rsidR="00FC5E93" w:rsidRPr="00D86A40">
        <w:rPr>
          <w:sz w:val="24"/>
        </w:rPr>
        <w:t xml:space="preserve">  </w:t>
      </w:r>
      <w:r w:rsidR="00441005" w:rsidRPr="00D86A40">
        <w:rPr>
          <w:sz w:val="24"/>
        </w:rPr>
        <w:t xml:space="preserve">  </w:t>
      </w:r>
    </w:p>
    <w:p w:rsidR="00D44907" w:rsidRPr="00D86A40" w:rsidRDefault="00D44907" w:rsidP="00140F13">
      <w:pPr>
        <w:tabs>
          <w:tab w:val="left" w:pos="709"/>
          <w:tab w:val="left" w:pos="5850"/>
        </w:tabs>
        <w:rPr>
          <w:sz w:val="24"/>
        </w:rPr>
      </w:pPr>
    </w:p>
    <w:p w:rsidR="000F6462" w:rsidRPr="00D86A40" w:rsidRDefault="00BF34E3" w:rsidP="0080147F">
      <w:pPr>
        <w:tabs>
          <w:tab w:val="left" w:pos="709"/>
          <w:tab w:val="left" w:pos="5850"/>
        </w:tabs>
        <w:rPr>
          <w:noProof/>
          <w:sz w:val="24"/>
          <w:szCs w:val="24"/>
        </w:rPr>
      </w:pPr>
      <w:r w:rsidRPr="00D86A40">
        <w:rPr>
          <w:sz w:val="24"/>
        </w:rPr>
        <w:t xml:space="preserve">For </w:t>
      </w:r>
      <w:r w:rsidR="00510F26" w:rsidRPr="00D86A40">
        <w:rPr>
          <w:sz w:val="24"/>
        </w:rPr>
        <w:t>F</w:t>
      </w:r>
      <w:r w:rsidRPr="00D86A40">
        <w:rPr>
          <w:sz w:val="24"/>
        </w:rPr>
        <w:t>iscal 20</w:t>
      </w:r>
      <w:r w:rsidR="005103A0" w:rsidRPr="00D86A40">
        <w:rPr>
          <w:sz w:val="24"/>
        </w:rPr>
        <w:t>2</w:t>
      </w:r>
      <w:r w:rsidR="00D86A40" w:rsidRPr="00D86A40">
        <w:rPr>
          <w:sz w:val="24"/>
        </w:rPr>
        <w:t>1</w:t>
      </w:r>
      <w:r w:rsidRPr="00D86A40">
        <w:rPr>
          <w:sz w:val="24"/>
        </w:rPr>
        <w:t>/</w:t>
      </w:r>
      <w:r w:rsidR="004D628F" w:rsidRPr="00D86A40">
        <w:rPr>
          <w:sz w:val="24"/>
        </w:rPr>
        <w:t>20</w:t>
      </w:r>
      <w:r w:rsidR="00B77902" w:rsidRPr="00D86A40">
        <w:rPr>
          <w:sz w:val="24"/>
        </w:rPr>
        <w:t>2</w:t>
      </w:r>
      <w:r w:rsidR="00D86A40" w:rsidRPr="00D86A40">
        <w:rPr>
          <w:sz w:val="24"/>
        </w:rPr>
        <w:t>2</w:t>
      </w:r>
      <w:r w:rsidRPr="00D86A40">
        <w:rPr>
          <w:sz w:val="24"/>
        </w:rPr>
        <w:t xml:space="preserve">, </w:t>
      </w:r>
      <w:r w:rsidR="00B77902" w:rsidRPr="00D86A40">
        <w:rPr>
          <w:sz w:val="24"/>
        </w:rPr>
        <w:t>the combined</w:t>
      </w:r>
      <w:r w:rsidRPr="00D86A40">
        <w:rPr>
          <w:sz w:val="24"/>
        </w:rPr>
        <w:t xml:space="preserve"> revenue</w:t>
      </w:r>
      <w:r w:rsidR="00B77902" w:rsidRPr="00D86A40">
        <w:rPr>
          <w:sz w:val="24"/>
        </w:rPr>
        <w:t>s</w:t>
      </w:r>
      <w:r w:rsidRPr="00D86A40">
        <w:rPr>
          <w:sz w:val="24"/>
        </w:rPr>
        <w:t xml:space="preserve"> </w:t>
      </w:r>
      <w:r w:rsidR="00B77902" w:rsidRPr="00D86A40">
        <w:rPr>
          <w:sz w:val="24"/>
        </w:rPr>
        <w:t>are</w:t>
      </w:r>
      <w:r w:rsidRPr="00D86A40">
        <w:rPr>
          <w:sz w:val="24"/>
        </w:rPr>
        <w:t xml:space="preserve"> expected to </w:t>
      </w:r>
      <w:r w:rsidR="005103A0" w:rsidRPr="00D86A40">
        <w:rPr>
          <w:sz w:val="24"/>
        </w:rPr>
        <w:t xml:space="preserve">increase by </w:t>
      </w:r>
      <w:r w:rsidR="00D86A40" w:rsidRPr="00D86A40">
        <w:rPr>
          <w:sz w:val="24"/>
        </w:rPr>
        <w:t>2.5</w:t>
      </w:r>
      <w:r w:rsidR="005103A0" w:rsidRPr="00D86A40">
        <w:rPr>
          <w:sz w:val="24"/>
        </w:rPr>
        <w:t>%, or more than $35,000.</w:t>
      </w:r>
      <w:r w:rsidR="00A143A7" w:rsidRPr="00D86A40">
        <w:rPr>
          <w:sz w:val="24"/>
        </w:rPr>
        <w:t xml:space="preserve"> </w:t>
      </w:r>
      <w:r w:rsidR="005103A0" w:rsidRPr="00D86A40">
        <w:rPr>
          <w:sz w:val="24"/>
        </w:rPr>
        <w:t xml:space="preserve"> </w:t>
      </w:r>
      <w:r w:rsidR="00A143A7" w:rsidRPr="00D86A40">
        <w:rPr>
          <w:sz w:val="24"/>
        </w:rPr>
        <w:t xml:space="preserve">Combined Sales and Use Taxes are expected to increase </w:t>
      </w:r>
      <w:r w:rsidR="00D86A40" w:rsidRPr="00D86A40">
        <w:rPr>
          <w:sz w:val="24"/>
        </w:rPr>
        <w:t>2.2</w:t>
      </w:r>
      <w:r w:rsidR="00A143A7" w:rsidRPr="00D86A40">
        <w:rPr>
          <w:sz w:val="24"/>
        </w:rPr>
        <w:t>% in FY 20</w:t>
      </w:r>
      <w:r w:rsidR="00B77902" w:rsidRPr="00D86A40">
        <w:rPr>
          <w:sz w:val="24"/>
        </w:rPr>
        <w:t>2</w:t>
      </w:r>
      <w:r w:rsidR="00D86A40" w:rsidRPr="00D86A40">
        <w:rPr>
          <w:sz w:val="24"/>
        </w:rPr>
        <w:t>2</w:t>
      </w:r>
      <w:r w:rsidR="00A143A7" w:rsidRPr="00D86A40">
        <w:rPr>
          <w:sz w:val="24"/>
        </w:rPr>
        <w:t>/202</w:t>
      </w:r>
      <w:r w:rsidR="00D86A40" w:rsidRPr="00D86A40">
        <w:rPr>
          <w:sz w:val="24"/>
        </w:rPr>
        <w:t>3</w:t>
      </w:r>
      <w:r w:rsidR="00B77902" w:rsidRPr="00D86A40">
        <w:rPr>
          <w:sz w:val="24"/>
        </w:rPr>
        <w:t xml:space="preserve"> as </w:t>
      </w:r>
      <w:r w:rsidR="00D86A40" w:rsidRPr="00D86A40">
        <w:rPr>
          <w:sz w:val="24"/>
        </w:rPr>
        <w:t>both continue</w:t>
      </w:r>
      <w:r w:rsidR="00B77902" w:rsidRPr="00D86A40">
        <w:rPr>
          <w:sz w:val="24"/>
        </w:rPr>
        <w:t xml:space="preserve"> to be strong</w:t>
      </w:r>
      <w:r w:rsidR="00A143A7" w:rsidRPr="00D86A40">
        <w:rPr>
          <w:sz w:val="24"/>
        </w:rPr>
        <w:t xml:space="preserve">.  </w:t>
      </w:r>
      <w:r w:rsidRPr="00D86A40">
        <w:rPr>
          <w:sz w:val="24"/>
        </w:rPr>
        <w:t xml:space="preserve">The Village’s efforts to attract new retail businesses to the </w:t>
      </w:r>
      <w:r w:rsidR="006D4A19" w:rsidRPr="00D86A40">
        <w:rPr>
          <w:sz w:val="24"/>
        </w:rPr>
        <w:t>Down</w:t>
      </w:r>
      <w:r w:rsidR="00DA56DE" w:rsidRPr="00D86A40">
        <w:rPr>
          <w:sz w:val="24"/>
        </w:rPr>
        <w:t>T</w:t>
      </w:r>
      <w:r w:rsidR="006D4A19" w:rsidRPr="00D86A40">
        <w:rPr>
          <w:sz w:val="24"/>
        </w:rPr>
        <w:t>own</w:t>
      </w:r>
      <w:r w:rsidRPr="00D86A40">
        <w:rPr>
          <w:sz w:val="24"/>
        </w:rPr>
        <w:t xml:space="preserve"> as well as future efforts </w:t>
      </w:r>
      <w:r w:rsidR="00327871" w:rsidRPr="00D86A40">
        <w:rPr>
          <w:sz w:val="24"/>
        </w:rPr>
        <w:t>in other commercial areas</w:t>
      </w:r>
      <w:r w:rsidRPr="00D86A40">
        <w:rPr>
          <w:sz w:val="24"/>
        </w:rPr>
        <w:t xml:space="preserve"> will be targeted to increase sales tax.</w:t>
      </w:r>
      <w:r w:rsidR="00F82E77" w:rsidRPr="00D86A40">
        <w:rPr>
          <w:sz w:val="24"/>
        </w:rPr>
        <w:t xml:space="preserve">  Following is </w:t>
      </w:r>
      <w:r w:rsidR="003667CF" w:rsidRPr="00D86A40">
        <w:rPr>
          <w:sz w:val="24"/>
        </w:rPr>
        <w:t>a</w:t>
      </w:r>
      <w:r w:rsidR="00F82E77" w:rsidRPr="00D86A40">
        <w:rPr>
          <w:sz w:val="24"/>
        </w:rPr>
        <w:t xml:space="preserve"> </w:t>
      </w:r>
      <w:r w:rsidR="00F05254" w:rsidRPr="00D86A40">
        <w:rPr>
          <w:sz w:val="24"/>
        </w:rPr>
        <w:t>t</w:t>
      </w:r>
      <w:r w:rsidR="00B77902" w:rsidRPr="00D86A40">
        <w:rPr>
          <w:sz w:val="24"/>
        </w:rPr>
        <w:t>en</w:t>
      </w:r>
      <w:r w:rsidR="00BC0C57" w:rsidRPr="00D86A40">
        <w:rPr>
          <w:sz w:val="24"/>
        </w:rPr>
        <w:t>-</w:t>
      </w:r>
      <w:r w:rsidR="00F82E77" w:rsidRPr="00D86A40">
        <w:rPr>
          <w:sz w:val="24"/>
        </w:rPr>
        <w:t>year</w:t>
      </w:r>
      <w:r w:rsidR="0080147F" w:rsidRPr="00D86A40">
        <w:rPr>
          <w:sz w:val="24"/>
        </w:rPr>
        <w:t xml:space="preserve"> depiction of sales and use tax </w:t>
      </w:r>
      <w:r w:rsidR="0080147F" w:rsidRPr="00D86A40">
        <w:rPr>
          <w:noProof/>
          <w:sz w:val="24"/>
          <w:szCs w:val="24"/>
        </w:rPr>
        <w:t>revenue.</w:t>
      </w:r>
      <w:r w:rsidR="0019457D" w:rsidRPr="00D86A40">
        <w:rPr>
          <w:noProof/>
          <w:sz w:val="24"/>
          <w:szCs w:val="24"/>
        </w:rPr>
        <w:t xml:space="preserve">  </w:t>
      </w:r>
    </w:p>
    <w:p w:rsidR="00911DEC" w:rsidRPr="006828AB" w:rsidRDefault="0019457D" w:rsidP="0080147F">
      <w:pPr>
        <w:tabs>
          <w:tab w:val="left" w:pos="709"/>
          <w:tab w:val="left" w:pos="5850"/>
        </w:tabs>
        <w:rPr>
          <w:noProof/>
          <w:sz w:val="24"/>
          <w:szCs w:val="24"/>
          <w:highlight w:val="yellow"/>
        </w:rPr>
      </w:pPr>
      <w:r w:rsidRPr="006828AB">
        <w:rPr>
          <w:noProof/>
          <w:sz w:val="24"/>
          <w:szCs w:val="24"/>
          <w:highlight w:val="yellow"/>
        </w:rPr>
        <w:t xml:space="preserve">                            </w:t>
      </w:r>
    </w:p>
    <w:p w:rsidR="00E75771" w:rsidRPr="006828AB" w:rsidRDefault="001F33BF" w:rsidP="0080147F">
      <w:pPr>
        <w:tabs>
          <w:tab w:val="left" w:pos="709"/>
          <w:tab w:val="left" w:pos="5850"/>
        </w:tabs>
        <w:rPr>
          <w:noProof/>
          <w:highlight w:val="yellow"/>
        </w:rPr>
      </w:pPr>
      <w:r>
        <w:rPr>
          <w:noProof/>
        </w:rPr>
        <w:drawing>
          <wp:inline distT="0" distB="0" distL="0" distR="0" wp14:anchorId="3D0502C9" wp14:editId="45150A99">
            <wp:extent cx="5577840" cy="2672080"/>
            <wp:effectExtent l="0" t="0" r="3810"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667CF" w:rsidRPr="006828AB" w:rsidRDefault="003667CF" w:rsidP="0080147F">
      <w:pPr>
        <w:tabs>
          <w:tab w:val="left" w:pos="709"/>
          <w:tab w:val="left" w:pos="5850"/>
        </w:tabs>
        <w:rPr>
          <w:noProof/>
          <w:highlight w:val="yellow"/>
        </w:rPr>
      </w:pPr>
    </w:p>
    <w:p w:rsidR="00BF34E3" w:rsidRPr="009623A7" w:rsidRDefault="00BF34E3">
      <w:pPr>
        <w:rPr>
          <w:b/>
          <w:sz w:val="24"/>
        </w:rPr>
      </w:pPr>
      <w:r w:rsidRPr="009623A7">
        <w:rPr>
          <w:b/>
          <w:sz w:val="24"/>
          <w:u w:val="single"/>
        </w:rPr>
        <w:t>Utility Tax</w:t>
      </w:r>
    </w:p>
    <w:p w:rsidR="00BF34E3" w:rsidRPr="009623A7" w:rsidRDefault="00BF34E3">
      <w:pPr>
        <w:rPr>
          <w:sz w:val="24"/>
        </w:rPr>
      </w:pPr>
    </w:p>
    <w:p w:rsidR="007A6D8C" w:rsidRDefault="00460F17">
      <w:pPr>
        <w:rPr>
          <w:sz w:val="24"/>
        </w:rPr>
      </w:pPr>
      <w:r w:rsidRPr="009623A7">
        <w:rPr>
          <w:sz w:val="24"/>
        </w:rPr>
        <w:t xml:space="preserve">Utility taxes </w:t>
      </w:r>
      <w:r w:rsidR="00B966BE" w:rsidRPr="009623A7">
        <w:rPr>
          <w:sz w:val="24"/>
        </w:rPr>
        <w:t>ha</w:t>
      </w:r>
      <w:r w:rsidR="009623A7" w:rsidRPr="009623A7">
        <w:rPr>
          <w:sz w:val="24"/>
        </w:rPr>
        <w:t>d been slowly declining each year until FY 20/21 when it increased by 1.4%.  Revenues for FY 21/22 are expected to increase by 3.6%, or $35,164.  The reasons for the declining utility tax revenue</w:t>
      </w:r>
      <w:r w:rsidR="00B966BE" w:rsidRPr="009623A7">
        <w:rPr>
          <w:sz w:val="24"/>
        </w:rPr>
        <w:t xml:space="preserve"> relate to </w:t>
      </w:r>
      <w:r w:rsidR="009623A7" w:rsidRPr="009623A7">
        <w:rPr>
          <w:sz w:val="24"/>
        </w:rPr>
        <w:t xml:space="preserve">the </w:t>
      </w:r>
      <w:r w:rsidR="00B966BE" w:rsidRPr="009623A7">
        <w:rPr>
          <w:sz w:val="24"/>
        </w:rPr>
        <w:t>use of cell phones versus land lines</w:t>
      </w:r>
      <w:r w:rsidR="0072786C" w:rsidRPr="009623A7">
        <w:rPr>
          <w:sz w:val="24"/>
        </w:rPr>
        <w:t xml:space="preserve"> and </w:t>
      </w:r>
      <w:r w:rsidR="00CA161E" w:rsidRPr="009623A7">
        <w:rPr>
          <w:sz w:val="24"/>
        </w:rPr>
        <w:t>unlimited plan offerings by telecommunication providers</w:t>
      </w:r>
      <w:r w:rsidR="00B879C9" w:rsidRPr="009623A7">
        <w:rPr>
          <w:sz w:val="24"/>
        </w:rPr>
        <w:t>.</w:t>
      </w:r>
      <w:r w:rsidR="00C1369C" w:rsidRPr="009623A7">
        <w:rPr>
          <w:sz w:val="24"/>
        </w:rPr>
        <w:t xml:space="preserve"> </w:t>
      </w:r>
      <w:r w:rsidR="00C1369C" w:rsidRPr="009623A7">
        <w:rPr>
          <w:b/>
          <w:i/>
          <w:sz w:val="24"/>
        </w:rPr>
        <w:t xml:space="preserve"> </w:t>
      </w:r>
      <w:r w:rsidR="00BF34E3" w:rsidRPr="009623A7">
        <w:rPr>
          <w:sz w:val="24"/>
        </w:rPr>
        <w:t xml:space="preserve">Utility taxes generate </w:t>
      </w:r>
      <w:r w:rsidR="00472F2B" w:rsidRPr="009623A7">
        <w:rPr>
          <w:sz w:val="24"/>
        </w:rPr>
        <w:t>3.</w:t>
      </w:r>
      <w:r w:rsidR="009623A7" w:rsidRPr="009623A7">
        <w:rPr>
          <w:sz w:val="24"/>
        </w:rPr>
        <w:t>3</w:t>
      </w:r>
      <w:r w:rsidR="00BF34E3" w:rsidRPr="009623A7">
        <w:rPr>
          <w:sz w:val="24"/>
        </w:rPr>
        <w:t>% of General Fund revenues.  The Utility Tax rate is 5% on gas and electric service and 6% on telephone service.  The Municipal Telecommunications Tax Act changed the receipt of telecommunication taxes.  Taxes now flow through the State causing a t</w:t>
      </w:r>
      <w:r w:rsidR="006926CE" w:rsidRPr="009623A7">
        <w:rPr>
          <w:sz w:val="24"/>
        </w:rPr>
        <w:t>wo</w:t>
      </w:r>
      <w:r w:rsidR="00CA161E" w:rsidRPr="009623A7">
        <w:rPr>
          <w:sz w:val="24"/>
        </w:rPr>
        <w:t>-</w:t>
      </w:r>
      <w:r w:rsidR="00BF34E3" w:rsidRPr="009623A7">
        <w:rPr>
          <w:sz w:val="24"/>
        </w:rPr>
        <w:t xml:space="preserve">month lag in receipts.  </w:t>
      </w:r>
      <w:r w:rsidR="00A733FD" w:rsidRPr="009623A7">
        <w:rPr>
          <w:sz w:val="24"/>
        </w:rPr>
        <w:t xml:space="preserve">The </w:t>
      </w:r>
      <w:r w:rsidR="009623A7" w:rsidRPr="009623A7">
        <w:rPr>
          <w:sz w:val="24"/>
        </w:rPr>
        <w:t xml:space="preserve">Village’s stagnant </w:t>
      </w:r>
      <w:r w:rsidR="00A733FD" w:rsidRPr="009623A7">
        <w:rPr>
          <w:sz w:val="24"/>
        </w:rPr>
        <w:t xml:space="preserve">commercial </w:t>
      </w:r>
      <w:r w:rsidR="009623A7" w:rsidRPr="009623A7">
        <w:rPr>
          <w:sz w:val="24"/>
        </w:rPr>
        <w:t xml:space="preserve">and residential property </w:t>
      </w:r>
      <w:r w:rsidR="00E97BB0">
        <w:rPr>
          <w:sz w:val="24"/>
        </w:rPr>
        <w:t>inventory</w:t>
      </w:r>
      <w:r w:rsidR="009623A7">
        <w:rPr>
          <w:sz w:val="24"/>
        </w:rPr>
        <w:t>, along with a declining population,</w:t>
      </w:r>
      <w:r w:rsidR="00E005C6" w:rsidRPr="009623A7">
        <w:rPr>
          <w:sz w:val="24"/>
        </w:rPr>
        <w:t xml:space="preserve"> </w:t>
      </w:r>
      <w:r w:rsidR="009623A7" w:rsidRPr="009623A7">
        <w:rPr>
          <w:sz w:val="24"/>
        </w:rPr>
        <w:t xml:space="preserve">are the reason why revenues, for the most part, </w:t>
      </w:r>
      <w:r w:rsidR="00E97BB0">
        <w:rPr>
          <w:sz w:val="24"/>
        </w:rPr>
        <w:t>are declining</w:t>
      </w:r>
      <w:r w:rsidR="00835761" w:rsidRPr="009623A7">
        <w:rPr>
          <w:sz w:val="24"/>
        </w:rPr>
        <w:t>.</w:t>
      </w:r>
      <w:r w:rsidR="00846903" w:rsidRPr="009623A7">
        <w:rPr>
          <w:sz w:val="24"/>
        </w:rPr>
        <w:t xml:space="preserve">  </w:t>
      </w:r>
      <w:r w:rsidR="00335413" w:rsidRPr="009623A7">
        <w:rPr>
          <w:sz w:val="24"/>
        </w:rPr>
        <w:br/>
      </w:r>
    </w:p>
    <w:p w:rsidR="00BF34E3" w:rsidRPr="006A4735" w:rsidRDefault="00BF34E3">
      <w:pPr>
        <w:rPr>
          <w:b/>
          <w:sz w:val="24"/>
        </w:rPr>
      </w:pPr>
      <w:r w:rsidRPr="006A4735">
        <w:rPr>
          <w:b/>
          <w:sz w:val="24"/>
          <w:u w:val="single"/>
        </w:rPr>
        <w:lastRenderedPageBreak/>
        <w:t>State Income Tax</w:t>
      </w:r>
    </w:p>
    <w:p w:rsidR="00BF34E3" w:rsidRPr="006A4735" w:rsidRDefault="00BF34E3">
      <w:pPr>
        <w:rPr>
          <w:b/>
          <w:sz w:val="24"/>
        </w:rPr>
      </w:pPr>
    </w:p>
    <w:p w:rsidR="00606E8E" w:rsidRPr="00E1650F" w:rsidRDefault="00BF34E3" w:rsidP="00C442A3">
      <w:pPr>
        <w:rPr>
          <w:sz w:val="24"/>
        </w:rPr>
      </w:pPr>
      <w:r w:rsidRPr="006A4735">
        <w:rPr>
          <w:sz w:val="24"/>
        </w:rPr>
        <w:t xml:space="preserve">The Village receives a State Income Tax allocation based on a per capita share of overall State revenues.  </w:t>
      </w:r>
      <w:r w:rsidR="00B966BE" w:rsidRPr="00E1650F">
        <w:rPr>
          <w:sz w:val="24"/>
        </w:rPr>
        <w:t>The information from the 20</w:t>
      </w:r>
      <w:r w:rsidR="005835DD" w:rsidRPr="00E1650F">
        <w:rPr>
          <w:sz w:val="24"/>
        </w:rPr>
        <w:t>2</w:t>
      </w:r>
      <w:r w:rsidR="00B966BE" w:rsidRPr="00E1650F">
        <w:rPr>
          <w:sz w:val="24"/>
        </w:rPr>
        <w:t>0 census indicate</w:t>
      </w:r>
      <w:r w:rsidR="006C1282" w:rsidRPr="00E1650F">
        <w:rPr>
          <w:sz w:val="24"/>
        </w:rPr>
        <w:t>d</w:t>
      </w:r>
      <w:r w:rsidR="00B966BE" w:rsidRPr="00E1650F">
        <w:rPr>
          <w:sz w:val="24"/>
        </w:rPr>
        <w:t xml:space="preserve"> that population ha</w:t>
      </w:r>
      <w:r w:rsidR="006C1282" w:rsidRPr="00E1650F">
        <w:rPr>
          <w:sz w:val="24"/>
        </w:rPr>
        <w:t>d</w:t>
      </w:r>
    </w:p>
    <w:p w:rsidR="00085A1F" w:rsidRPr="00E1650F" w:rsidRDefault="00B966BE" w:rsidP="00C442A3">
      <w:pPr>
        <w:rPr>
          <w:sz w:val="24"/>
        </w:rPr>
      </w:pPr>
      <w:r w:rsidRPr="00E1650F">
        <w:rPr>
          <w:sz w:val="24"/>
        </w:rPr>
        <w:t>declined</w:t>
      </w:r>
      <w:r w:rsidR="00607B27" w:rsidRPr="00E1650F">
        <w:rPr>
          <w:sz w:val="24"/>
        </w:rPr>
        <w:t xml:space="preserve"> </w:t>
      </w:r>
      <w:r w:rsidR="005835DD" w:rsidRPr="00E1650F">
        <w:rPr>
          <w:sz w:val="24"/>
        </w:rPr>
        <w:t xml:space="preserve">by </w:t>
      </w:r>
      <w:r w:rsidR="00B96E5F" w:rsidRPr="00E1650F">
        <w:rPr>
          <w:sz w:val="24"/>
        </w:rPr>
        <w:t xml:space="preserve">288 </w:t>
      </w:r>
      <w:r w:rsidR="00607B27" w:rsidRPr="00E1650F">
        <w:rPr>
          <w:sz w:val="24"/>
        </w:rPr>
        <w:t>from 21,975</w:t>
      </w:r>
      <w:r w:rsidR="005835DD" w:rsidRPr="00E1650F">
        <w:rPr>
          <w:sz w:val="24"/>
        </w:rPr>
        <w:t xml:space="preserve"> to </w:t>
      </w:r>
      <w:r w:rsidR="00B96E5F" w:rsidRPr="00E1650F">
        <w:rPr>
          <w:sz w:val="24"/>
        </w:rPr>
        <w:t>21,687</w:t>
      </w:r>
      <w:r w:rsidRPr="00E1650F">
        <w:rPr>
          <w:sz w:val="24"/>
        </w:rPr>
        <w:t xml:space="preserve">.  </w:t>
      </w:r>
      <w:r w:rsidR="00B96E5F" w:rsidRPr="00E1650F">
        <w:rPr>
          <w:sz w:val="24"/>
        </w:rPr>
        <w:t>T</w:t>
      </w:r>
      <w:r w:rsidRPr="00E1650F">
        <w:rPr>
          <w:sz w:val="24"/>
        </w:rPr>
        <w:t xml:space="preserve">he State </w:t>
      </w:r>
      <w:r w:rsidR="00B96E5F" w:rsidRPr="00E1650F">
        <w:rPr>
          <w:sz w:val="24"/>
        </w:rPr>
        <w:t xml:space="preserve">of Illinois’ </w:t>
      </w:r>
      <w:r w:rsidRPr="00E1650F">
        <w:rPr>
          <w:sz w:val="24"/>
        </w:rPr>
        <w:t xml:space="preserve">population </w:t>
      </w:r>
      <w:r w:rsidR="00B96E5F" w:rsidRPr="00E1650F">
        <w:rPr>
          <w:sz w:val="24"/>
        </w:rPr>
        <w:t xml:space="preserve">also decreased slightly at the 2020 census by 0.2% or almost twice the decline as the Village.  </w:t>
      </w:r>
      <w:r w:rsidR="008F3494" w:rsidRPr="00E1650F">
        <w:rPr>
          <w:sz w:val="24"/>
        </w:rPr>
        <w:t xml:space="preserve">Revenues </w:t>
      </w:r>
      <w:r w:rsidR="00B96E5F" w:rsidRPr="00E1650F">
        <w:rPr>
          <w:sz w:val="24"/>
        </w:rPr>
        <w:t>had been declining but, in 2015, they</w:t>
      </w:r>
      <w:r w:rsidR="00B879C9" w:rsidRPr="00E1650F">
        <w:rPr>
          <w:sz w:val="24"/>
        </w:rPr>
        <w:t xml:space="preserve"> recovered to </w:t>
      </w:r>
      <w:r w:rsidR="009A5B30" w:rsidRPr="00E1650F">
        <w:rPr>
          <w:sz w:val="24"/>
        </w:rPr>
        <w:t>levels seen before the Great Recession</w:t>
      </w:r>
      <w:r w:rsidR="00B879C9" w:rsidRPr="00E1650F">
        <w:rPr>
          <w:sz w:val="24"/>
        </w:rPr>
        <w:t>.</w:t>
      </w:r>
      <w:r w:rsidR="006D36A1" w:rsidRPr="00E1650F">
        <w:rPr>
          <w:sz w:val="24"/>
        </w:rPr>
        <w:t xml:space="preserve">  Revenue declined slightly in 201</w:t>
      </w:r>
      <w:r w:rsidR="004056A4" w:rsidRPr="00E1650F">
        <w:rPr>
          <w:sz w:val="24"/>
        </w:rPr>
        <w:t>7 and, for 2018, the State of Illinois announced in June, 2017, it was reducing distributions for Income Tax by 10% to municipalities</w:t>
      </w:r>
      <w:r w:rsidR="006D36A1" w:rsidRPr="00E1650F">
        <w:rPr>
          <w:sz w:val="24"/>
        </w:rPr>
        <w:t xml:space="preserve">.  </w:t>
      </w:r>
      <w:r w:rsidR="004056A4" w:rsidRPr="00E1650F">
        <w:rPr>
          <w:sz w:val="24"/>
        </w:rPr>
        <w:t>The Governor ha</w:t>
      </w:r>
      <w:r w:rsidR="000E7266" w:rsidRPr="00E1650F">
        <w:rPr>
          <w:sz w:val="24"/>
        </w:rPr>
        <w:t>d</w:t>
      </w:r>
      <w:r w:rsidR="004056A4" w:rsidRPr="00E1650F">
        <w:rPr>
          <w:sz w:val="24"/>
        </w:rPr>
        <w:t xml:space="preserve"> proposed to continue this reduction for </w:t>
      </w:r>
      <w:r w:rsidR="00F436B5" w:rsidRPr="00E1650F">
        <w:rPr>
          <w:sz w:val="24"/>
        </w:rPr>
        <w:t xml:space="preserve">2018, </w:t>
      </w:r>
      <w:r w:rsidR="004056A4" w:rsidRPr="00E1650F">
        <w:rPr>
          <w:sz w:val="24"/>
        </w:rPr>
        <w:t xml:space="preserve">2019 </w:t>
      </w:r>
      <w:r w:rsidR="00F436B5" w:rsidRPr="00E1650F">
        <w:rPr>
          <w:sz w:val="24"/>
        </w:rPr>
        <w:t xml:space="preserve">and 2020 </w:t>
      </w:r>
      <w:r w:rsidR="004056A4" w:rsidRPr="00E1650F">
        <w:rPr>
          <w:sz w:val="24"/>
        </w:rPr>
        <w:t xml:space="preserve">but </w:t>
      </w:r>
      <w:r w:rsidR="000E7266" w:rsidRPr="00E1650F">
        <w:rPr>
          <w:sz w:val="24"/>
        </w:rPr>
        <w:t>the State legislature reduced the reduction to only 5%.</w:t>
      </w:r>
      <w:r w:rsidR="004056A4" w:rsidRPr="00E1650F">
        <w:rPr>
          <w:sz w:val="24"/>
        </w:rPr>
        <w:t xml:space="preserve">  </w:t>
      </w:r>
      <w:r w:rsidR="00E1650F" w:rsidRPr="00E1650F">
        <w:rPr>
          <w:sz w:val="24"/>
        </w:rPr>
        <w:t xml:space="preserve">There have been no reductions to Income Taxes by the State since, </w:t>
      </w:r>
      <w:r w:rsidR="001E2339" w:rsidRPr="00E1650F">
        <w:rPr>
          <w:sz w:val="24"/>
        </w:rPr>
        <w:t>most likely</w:t>
      </w:r>
      <w:r w:rsidR="00E1650F" w:rsidRPr="00E1650F">
        <w:rPr>
          <w:sz w:val="24"/>
        </w:rPr>
        <w:t xml:space="preserve"> due</w:t>
      </w:r>
      <w:r w:rsidR="00F436B5" w:rsidRPr="00E1650F">
        <w:rPr>
          <w:sz w:val="24"/>
        </w:rPr>
        <w:t xml:space="preserve"> to the Coronavirus </w:t>
      </w:r>
      <w:r w:rsidR="00E1650F" w:rsidRPr="00E1650F">
        <w:rPr>
          <w:sz w:val="24"/>
        </w:rPr>
        <w:t>pandemic</w:t>
      </w:r>
      <w:r w:rsidR="00F436B5" w:rsidRPr="00E1650F">
        <w:rPr>
          <w:sz w:val="24"/>
        </w:rPr>
        <w:t>.</w:t>
      </w:r>
      <w:r w:rsidR="004056A4" w:rsidRPr="00E1650F">
        <w:rPr>
          <w:sz w:val="24"/>
        </w:rPr>
        <w:t xml:space="preserve"> </w:t>
      </w:r>
      <w:r w:rsidR="00E1650F" w:rsidRPr="00E1650F">
        <w:rPr>
          <w:sz w:val="24"/>
        </w:rPr>
        <w:t xml:space="preserve">State unemployment benefits and </w:t>
      </w:r>
      <w:r w:rsidR="000E2592" w:rsidRPr="00E1650F">
        <w:rPr>
          <w:sz w:val="24"/>
        </w:rPr>
        <w:t xml:space="preserve">the Federal stimulus packages approved during the </w:t>
      </w:r>
      <w:r w:rsidR="00E1650F" w:rsidRPr="00E1650F">
        <w:rPr>
          <w:sz w:val="24"/>
        </w:rPr>
        <w:t>pan</w:t>
      </w:r>
      <w:r w:rsidR="000E2592" w:rsidRPr="00E1650F">
        <w:rPr>
          <w:sz w:val="24"/>
        </w:rPr>
        <w:t xml:space="preserve">demic added substantial amounts to existing unemployment compensation and extended the time frame unemployed individuals can receive unemployment benefits.  These factors </w:t>
      </w:r>
      <w:r w:rsidR="001E2339" w:rsidRPr="00E1650F">
        <w:rPr>
          <w:sz w:val="24"/>
        </w:rPr>
        <w:t xml:space="preserve">caused the noticeable increase to income tax revenues for </w:t>
      </w:r>
      <w:r w:rsidR="000E2592" w:rsidRPr="00E1650F">
        <w:rPr>
          <w:sz w:val="24"/>
        </w:rPr>
        <w:t>FY 20/21</w:t>
      </w:r>
      <w:r w:rsidR="00E1650F" w:rsidRPr="00E1650F">
        <w:rPr>
          <w:sz w:val="24"/>
        </w:rPr>
        <w:t xml:space="preserve"> as well as the start of FY 21/22</w:t>
      </w:r>
      <w:r w:rsidR="000E2592" w:rsidRPr="00E1650F">
        <w:rPr>
          <w:sz w:val="24"/>
        </w:rPr>
        <w:t xml:space="preserve">.  </w:t>
      </w:r>
      <w:r w:rsidR="00E1650F" w:rsidRPr="00E1650F">
        <w:rPr>
          <w:sz w:val="24"/>
        </w:rPr>
        <w:t>However, at the time the FY 22/23 budget was created, Income Tax revenues continue to come in higher than the previous year.  The national unemployment rate at the time this budget was created was 3.6% and the State of Illinois’ rate was 4.8%.  Both rates were close the level they were at prior to the pandemic.</w:t>
      </w:r>
    </w:p>
    <w:p w:rsidR="0085693D" w:rsidRPr="00E1650F" w:rsidRDefault="0085693D" w:rsidP="00C442A3">
      <w:pPr>
        <w:rPr>
          <w:sz w:val="24"/>
        </w:rPr>
      </w:pPr>
    </w:p>
    <w:p w:rsidR="0085693D" w:rsidRPr="00E1650F" w:rsidRDefault="0085693D" w:rsidP="0085693D">
      <w:pPr>
        <w:rPr>
          <w:noProof/>
        </w:rPr>
      </w:pPr>
      <w:r w:rsidRPr="00E1650F">
        <w:rPr>
          <w:sz w:val="24"/>
        </w:rPr>
        <w:t>This graph shows how an increase in property taxes has been necessary to offset the declining or stagnant other revenue sources.</w:t>
      </w:r>
      <w:r w:rsidRPr="00E1650F">
        <w:rPr>
          <w:noProof/>
        </w:rPr>
        <w:t xml:space="preserve"> </w:t>
      </w:r>
    </w:p>
    <w:p w:rsidR="0085693D" w:rsidRPr="00E1650F" w:rsidRDefault="0085693D" w:rsidP="0085693D">
      <w:pPr>
        <w:rPr>
          <w:noProof/>
        </w:rPr>
      </w:pPr>
    </w:p>
    <w:p w:rsidR="0085693D" w:rsidRPr="00290245" w:rsidRDefault="00472044" w:rsidP="00C442A3">
      <w:pPr>
        <w:rPr>
          <w:b/>
          <w:i/>
          <w:sz w:val="24"/>
        </w:rPr>
      </w:pPr>
      <w:r>
        <w:rPr>
          <w:noProof/>
        </w:rPr>
        <w:drawing>
          <wp:inline distT="0" distB="0" distL="0" distR="0" wp14:anchorId="5FB0AD2F" wp14:editId="0D44A28F">
            <wp:extent cx="5724525" cy="36004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56081" w:rsidRDefault="00D56081">
      <w:pPr>
        <w:rPr>
          <w:b/>
          <w:sz w:val="24"/>
          <w:u w:val="single"/>
        </w:rPr>
      </w:pPr>
    </w:p>
    <w:p w:rsidR="004322A8" w:rsidRDefault="004322A8">
      <w:pPr>
        <w:rPr>
          <w:b/>
          <w:sz w:val="24"/>
          <w:u w:val="single"/>
        </w:rPr>
      </w:pPr>
    </w:p>
    <w:p w:rsidR="004322A8" w:rsidRDefault="004322A8">
      <w:pPr>
        <w:rPr>
          <w:b/>
          <w:sz w:val="24"/>
          <w:u w:val="single"/>
        </w:rPr>
      </w:pPr>
    </w:p>
    <w:p w:rsidR="004322A8" w:rsidRDefault="004322A8">
      <w:pPr>
        <w:rPr>
          <w:b/>
          <w:sz w:val="24"/>
          <w:u w:val="single"/>
        </w:rPr>
      </w:pPr>
    </w:p>
    <w:p w:rsidR="004322A8" w:rsidRDefault="004322A8">
      <w:pPr>
        <w:rPr>
          <w:b/>
          <w:sz w:val="24"/>
          <w:u w:val="single"/>
        </w:rPr>
      </w:pPr>
    </w:p>
    <w:p w:rsidR="00D86A40" w:rsidRPr="00E1650F" w:rsidRDefault="00D86A40">
      <w:pPr>
        <w:rPr>
          <w:b/>
          <w:sz w:val="24"/>
          <w:u w:val="single"/>
        </w:rPr>
      </w:pPr>
    </w:p>
    <w:p w:rsidR="00BF34E3" w:rsidRPr="00E1650F" w:rsidRDefault="00BF34E3">
      <w:pPr>
        <w:rPr>
          <w:b/>
          <w:sz w:val="24"/>
        </w:rPr>
      </w:pPr>
      <w:r w:rsidRPr="00E1650F">
        <w:rPr>
          <w:b/>
          <w:sz w:val="24"/>
          <w:u w:val="single"/>
        </w:rPr>
        <w:t>Real Estate Transfer Tax</w:t>
      </w:r>
    </w:p>
    <w:p w:rsidR="00BF34E3" w:rsidRPr="00E1650F" w:rsidRDefault="00BF34E3">
      <w:pPr>
        <w:rPr>
          <w:b/>
          <w:sz w:val="24"/>
          <w:szCs w:val="24"/>
        </w:rPr>
      </w:pPr>
    </w:p>
    <w:p w:rsidR="00BC0C57" w:rsidRPr="00E1650F" w:rsidRDefault="00BF34E3">
      <w:pPr>
        <w:rPr>
          <w:sz w:val="24"/>
        </w:rPr>
      </w:pPr>
      <w:r w:rsidRPr="00E1650F">
        <w:rPr>
          <w:sz w:val="24"/>
        </w:rPr>
        <w:t xml:space="preserve">The current </w:t>
      </w:r>
      <w:r w:rsidR="00480D4C" w:rsidRPr="00E1650F">
        <w:rPr>
          <w:sz w:val="24"/>
        </w:rPr>
        <w:t xml:space="preserve">Real Estate Transfer Tax </w:t>
      </w:r>
      <w:r w:rsidRPr="00E1650F">
        <w:rPr>
          <w:sz w:val="24"/>
        </w:rPr>
        <w:t xml:space="preserve">rate is $5.00 per thousand dollars of sale price.  </w:t>
      </w:r>
    </w:p>
    <w:p w:rsidR="000410A1" w:rsidRPr="00A009CA" w:rsidRDefault="00BC0C57">
      <w:pPr>
        <w:rPr>
          <w:sz w:val="24"/>
        </w:rPr>
      </w:pPr>
      <w:r w:rsidRPr="00A009CA">
        <w:rPr>
          <w:sz w:val="24"/>
        </w:rPr>
        <w:t xml:space="preserve">For several years following the Great Recession, the transfer tax amounts had decreased significantly as the Village’s property values took longer to improve than most Chicagoland communities.  </w:t>
      </w:r>
      <w:r w:rsidR="006C1282" w:rsidRPr="00A009CA">
        <w:rPr>
          <w:sz w:val="24"/>
        </w:rPr>
        <w:t>In 201</w:t>
      </w:r>
      <w:r w:rsidR="00330FE3" w:rsidRPr="00A009CA">
        <w:rPr>
          <w:sz w:val="24"/>
        </w:rPr>
        <w:t>6</w:t>
      </w:r>
      <w:r w:rsidR="00204E69" w:rsidRPr="00A009CA">
        <w:rPr>
          <w:sz w:val="24"/>
        </w:rPr>
        <w:t>,</w:t>
      </w:r>
      <w:r w:rsidR="006C1282" w:rsidRPr="00A009CA">
        <w:rPr>
          <w:sz w:val="24"/>
        </w:rPr>
        <w:t xml:space="preserve"> a one-time sale of </w:t>
      </w:r>
      <w:r w:rsidR="00330FE3" w:rsidRPr="00A009CA">
        <w:rPr>
          <w:sz w:val="24"/>
        </w:rPr>
        <w:t>two</w:t>
      </w:r>
      <w:r w:rsidR="006C1282" w:rsidRPr="00A009CA">
        <w:rPr>
          <w:sz w:val="24"/>
        </w:rPr>
        <w:t xml:space="preserve"> major multi-family area</w:t>
      </w:r>
      <w:r w:rsidR="00330FE3" w:rsidRPr="00A009CA">
        <w:rPr>
          <w:sz w:val="24"/>
        </w:rPr>
        <w:t>s</w:t>
      </w:r>
      <w:r w:rsidR="006C1282" w:rsidRPr="00A009CA">
        <w:rPr>
          <w:sz w:val="24"/>
        </w:rPr>
        <w:t xml:space="preserve"> improved real estate </w:t>
      </w:r>
      <w:r w:rsidR="00122085" w:rsidRPr="00A009CA">
        <w:rPr>
          <w:sz w:val="24"/>
        </w:rPr>
        <w:t xml:space="preserve">transfer </w:t>
      </w:r>
      <w:r w:rsidR="006C1282" w:rsidRPr="00A009CA">
        <w:rPr>
          <w:sz w:val="24"/>
        </w:rPr>
        <w:t>taxes.</w:t>
      </w:r>
      <w:r w:rsidR="00122085" w:rsidRPr="00A009CA">
        <w:rPr>
          <w:sz w:val="24"/>
        </w:rPr>
        <w:t xml:space="preserve">  </w:t>
      </w:r>
      <w:r w:rsidR="00C00FF2" w:rsidRPr="00A009CA">
        <w:rPr>
          <w:sz w:val="24"/>
        </w:rPr>
        <w:t>T</w:t>
      </w:r>
      <w:r w:rsidR="002140B7" w:rsidRPr="00A009CA">
        <w:rPr>
          <w:sz w:val="24"/>
        </w:rPr>
        <w:t>his revenue declined in 2017</w:t>
      </w:r>
      <w:r w:rsidR="000410A1" w:rsidRPr="00A009CA">
        <w:rPr>
          <w:sz w:val="24"/>
        </w:rPr>
        <w:t xml:space="preserve"> but steadily increased </w:t>
      </w:r>
      <w:r w:rsidR="00A009CA" w:rsidRPr="00A009CA">
        <w:rPr>
          <w:sz w:val="24"/>
        </w:rPr>
        <w:t xml:space="preserve">from </w:t>
      </w:r>
      <w:r w:rsidR="002140B7" w:rsidRPr="00A009CA">
        <w:rPr>
          <w:sz w:val="24"/>
        </w:rPr>
        <w:t>2018</w:t>
      </w:r>
      <w:r w:rsidR="00A009CA" w:rsidRPr="00A009CA">
        <w:rPr>
          <w:sz w:val="24"/>
        </w:rPr>
        <w:t xml:space="preserve"> to current</w:t>
      </w:r>
      <w:r w:rsidR="002140B7" w:rsidRPr="00A009CA">
        <w:rPr>
          <w:sz w:val="24"/>
        </w:rPr>
        <w:t xml:space="preserve">.  </w:t>
      </w:r>
      <w:r w:rsidR="000410A1" w:rsidRPr="00A009CA">
        <w:rPr>
          <w:sz w:val="24"/>
        </w:rPr>
        <w:t>This revenue is difficult to predict since there can be very sizeable shifts in home sales with any 12-month period.  FY 202</w:t>
      </w:r>
      <w:r w:rsidR="00A009CA" w:rsidRPr="00A009CA">
        <w:rPr>
          <w:sz w:val="24"/>
        </w:rPr>
        <w:t>3</w:t>
      </w:r>
      <w:r w:rsidR="000410A1" w:rsidRPr="00A009CA">
        <w:rPr>
          <w:sz w:val="24"/>
        </w:rPr>
        <w:t xml:space="preserve"> revenues are very conservatively estimated at $</w:t>
      </w:r>
      <w:r w:rsidR="00A009CA" w:rsidRPr="00A009CA">
        <w:rPr>
          <w:sz w:val="24"/>
        </w:rPr>
        <w:t>20</w:t>
      </w:r>
      <w:r w:rsidR="0039783F" w:rsidRPr="00A009CA">
        <w:rPr>
          <w:sz w:val="24"/>
        </w:rPr>
        <w:t>0</w:t>
      </w:r>
      <w:r w:rsidR="000410A1" w:rsidRPr="00A009CA">
        <w:rPr>
          <w:sz w:val="24"/>
        </w:rPr>
        <w:t>,000.  Overall, a</w:t>
      </w:r>
      <w:r w:rsidR="002140B7" w:rsidRPr="00A009CA">
        <w:rPr>
          <w:sz w:val="24"/>
        </w:rPr>
        <w:t xml:space="preserve">verage home values in the Village </w:t>
      </w:r>
      <w:r w:rsidR="0039783F" w:rsidRPr="00A009CA">
        <w:rPr>
          <w:sz w:val="24"/>
        </w:rPr>
        <w:t>continue to increase with several homes selling at above asking price</w:t>
      </w:r>
      <w:r w:rsidR="000410A1" w:rsidRPr="00A009CA">
        <w:rPr>
          <w:sz w:val="24"/>
        </w:rPr>
        <w:t>.</w:t>
      </w:r>
    </w:p>
    <w:p w:rsidR="00187E3B" w:rsidRPr="00A009CA" w:rsidRDefault="00187E3B">
      <w:pPr>
        <w:rPr>
          <w:sz w:val="24"/>
        </w:rPr>
      </w:pPr>
    </w:p>
    <w:p w:rsidR="00BF34E3" w:rsidRPr="00A009CA" w:rsidRDefault="00BF34E3">
      <w:pPr>
        <w:rPr>
          <w:b/>
          <w:sz w:val="24"/>
        </w:rPr>
      </w:pPr>
      <w:r w:rsidRPr="00A009CA">
        <w:rPr>
          <w:b/>
          <w:sz w:val="24"/>
          <w:u w:val="single"/>
        </w:rPr>
        <w:t>Grants</w:t>
      </w:r>
    </w:p>
    <w:p w:rsidR="00BF34E3" w:rsidRPr="00A009CA" w:rsidRDefault="00BF34E3">
      <w:pPr>
        <w:rPr>
          <w:sz w:val="24"/>
          <w:szCs w:val="24"/>
          <w:u w:val="single"/>
        </w:rPr>
      </w:pPr>
    </w:p>
    <w:p w:rsidR="00187E3B" w:rsidRPr="00B86522" w:rsidRDefault="00FF011F" w:rsidP="00E31287">
      <w:pPr>
        <w:rPr>
          <w:sz w:val="24"/>
        </w:rPr>
      </w:pPr>
      <w:r w:rsidRPr="00B86522">
        <w:rPr>
          <w:sz w:val="24"/>
        </w:rPr>
        <w:t>I</w:t>
      </w:r>
      <w:r w:rsidR="00BF34E3" w:rsidRPr="00B86522">
        <w:rPr>
          <w:sz w:val="24"/>
        </w:rPr>
        <w:t xml:space="preserve">ncluded in grant revenue is the PACE </w:t>
      </w:r>
      <w:r w:rsidR="007600DB" w:rsidRPr="00B86522">
        <w:rPr>
          <w:sz w:val="24"/>
        </w:rPr>
        <w:t>G</w:t>
      </w:r>
      <w:r w:rsidR="00BF34E3" w:rsidRPr="00B86522">
        <w:rPr>
          <w:sz w:val="24"/>
        </w:rPr>
        <w:t xml:space="preserve">rant for </w:t>
      </w:r>
      <w:r w:rsidR="007600DB" w:rsidRPr="00B86522">
        <w:rPr>
          <w:sz w:val="24"/>
        </w:rPr>
        <w:t xml:space="preserve">the </w:t>
      </w:r>
      <w:r w:rsidR="00BF34E3" w:rsidRPr="00B86522">
        <w:rPr>
          <w:sz w:val="24"/>
        </w:rPr>
        <w:t xml:space="preserve">Jolly Trolley.  </w:t>
      </w:r>
      <w:r w:rsidR="004B7214" w:rsidRPr="00B86522">
        <w:rPr>
          <w:sz w:val="24"/>
        </w:rPr>
        <w:t xml:space="preserve">These </w:t>
      </w:r>
      <w:r w:rsidR="007600DB" w:rsidRPr="00B86522">
        <w:rPr>
          <w:sz w:val="24"/>
        </w:rPr>
        <w:t xml:space="preserve">grant funds will be transferred to Rich Township to provide bus service.  Rich Township will also retain fare box revenue.  </w:t>
      </w:r>
    </w:p>
    <w:p w:rsidR="00B472A2" w:rsidRPr="00B86522" w:rsidRDefault="00B472A2" w:rsidP="00E31287"/>
    <w:p w:rsidR="00035FB1" w:rsidRPr="00B86522" w:rsidRDefault="007600DB" w:rsidP="00E31287">
      <w:pPr>
        <w:rPr>
          <w:sz w:val="12"/>
        </w:rPr>
      </w:pPr>
      <w:r w:rsidRPr="00B86522">
        <w:rPr>
          <w:sz w:val="24"/>
        </w:rPr>
        <w:t xml:space="preserve">The total cost to provide </w:t>
      </w:r>
      <w:r w:rsidR="00CA4EEF" w:rsidRPr="00B86522">
        <w:rPr>
          <w:sz w:val="24"/>
        </w:rPr>
        <w:t>service is as follows:</w:t>
      </w:r>
      <w:r w:rsidR="00CA6A84" w:rsidRPr="00B86522">
        <w:rPr>
          <w:sz w:val="24"/>
        </w:rPr>
        <w:br/>
      </w:r>
    </w:p>
    <w:tbl>
      <w:tblPr>
        <w:tblW w:w="7697" w:type="dxa"/>
        <w:jc w:val="center"/>
        <w:tblBorders>
          <w:insideH w:val="single" w:sz="6" w:space="0" w:color="000000"/>
          <w:insideV w:val="single" w:sz="6" w:space="0" w:color="000000"/>
        </w:tblBorders>
        <w:tblLayout w:type="fixed"/>
        <w:tblLook w:val="0000" w:firstRow="0" w:lastRow="0" w:firstColumn="0" w:lastColumn="0" w:noHBand="0" w:noVBand="0"/>
      </w:tblPr>
      <w:tblGrid>
        <w:gridCol w:w="5585"/>
        <w:gridCol w:w="996"/>
        <w:gridCol w:w="1116"/>
      </w:tblGrid>
      <w:tr w:rsidR="00467144" w:rsidRPr="00B86522">
        <w:trPr>
          <w:trHeight w:val="315"/>
          <w:jc w:val="center"/>
        </w:trPr>
        <w:tc>
          <w:tcPr>
            <w:tcW w:w="7697" w:type="dxa"/>
            <w:gridSpan w:val="3"/>
            <w:shd w:val="clear" w:color="auto" w:fill="auto"/>
            <w:noWrap/>
          </w:tcPr>
          <w:p w:rsidR="00467144" w:rsidRPr="00B86522" w:rsidRDefault="00467144" w:rsidP="00355528">
            <w:pPr>
              <w:jc w:val="center"/>
              <w:rPr>
                <w:b/>
                <w:sz w:val="24"/>
                <w:szCs w:val="24"/>
              </w:rPr>
            </w:pPr>
            <w:r w:rsidRPr="00B86522">
              <w:rPr>
                <w:b/>
                <w:sz w:val="24"/>
                <w:szCs w:val="24"/>
              </w:rPr>
              <w:t>JOLLY TROLLEY</w:t>
            </w:r>
          </w:p>
        </w:tc>
      </w:tr>
      <w:tr w:rsidR="00723899" w:rsidRPr="00B86522">
        <w:trPr>
          <w:trHeight w:val="315"/>
          <w:jc w:val="center"/>
        </w:trPr>
        <w:tc>
          <w:tcPr>
            <w:tcW w:w="5585" w:type="dxa"/>
            <w:shd w:val="clear" w:color="auto" w:fill="auto"/>
            <w:noWrap/>
          </w:tcPr>
          <w:p w:rsidR="00723899" w:rsidRPr="00B86522" w:rsidRDefault="00723899" w:rsidP="00723899">
            <w:pPr>
              <w:rPr>
                <w:sz w:val="24"/>
                <w:szCs w:val="24"/>
              </w:rPr>
            </w:pPr>
            <w:r w:rsidRPr="00B86522">
              <w:rPr>
                <w:sz w:val="24"/>
                <w:szCs w:val="24"/>
              </w:rPr>
              <w:t xml:space="preserve">* </w:t>
            </w:r>
            <w:r w:rsidR="00880265" w:rsidRPr="00B86522">
              <w:rPr>
                <w:sz w:val="24"/>
                <w:szCs w:val="24"/>
              </w:rPr>
              <w:t>Intergovernmental Agreement w/</w:t>
            </w:r>
            <w:r w:rsidRPr="00B86522">
              <w:rPr>
                <w:sz w:val="24"/>
                <w:szCs w:val="24"/>
              </w:rPr>
              <w:t>Rich Township</w:t>
            </w:r>
          </w:p>
        </w:tc>
        <w:tc>
          <w:tcPr>
            <w:tcW w:w="996" w:type="dxa"/>
            <w:shd w:val="clear" w:color="auto" w:fill="auto"/>
            <w:noWrap/>
          </w:tcPr>
          <w:p w:rsidR="00723899" w:rsidRPr="00B86522" w:rsidRDefault="00085764" w:rsidP="00B86522">
            <w:pPr>
              <w:jc w:val="right"/>
              <w:rPr>
                <w:b/>
                <w:sz w:val="24"/>
                <w:szCs w:val="24"/>
              </w:rPr>
            </w:pPr>
            <w:r w:rsidRPr="00B86522">
              <w:rPr>
                <w:b/>
                <w:sz w:val="24"/>
                <w:szCs w:val="24"/>
              </w:rPr>
              <w:t>$</w:t>
            </w:r>
            <w:r w:rsidR="001C65DD" w:rsidRPr="00B86522">
              <w:rPr>
                <w:b/>
                <w:sz w:val="24"/>
                <w:szCs w:val="24"/>
              </w:rPr>
              <w:t>5</w:t>
            </w:r>
            <w:r w:rsidR="00B86522" w:rsidRPr="00B86522">
              <w:rPr>
                <w:b/>
                <w:sz w:val="24"/>
                <w:szCs w:val="24"/>
              </w:rPr>
              <w:t>5</w:t>
            </w:r>
            <w:r w:rsidR="00723899" w:rsidRPr="00B86522">
              <w:rPr>
                <w:b/>
                <w:sz w:val="24"/>
                <w:szCs w:val="24"/>
              </w:rPr>
              <w:t>,</w:t>
            </w:r>
            <w:r w:rsidR="00B86522" w:rsidRPr="00B86522">
              <w:rPr>
                <w:b/>
                <w:sz w:val="24"/>
                <w:szCs w:val="24"/>
              </w:rPr>
              <w:t>0</w:t>
            </w:r>
            <w:r w:rsidR="00723899" w:rsidRPr="00B86522">
              <w:rPr>
                <w:b/>
                <w:sz w:val="24"/>
                <w:szCs w:val="24"/>
              </w:rPr>
              <w:t>00</w:t>
            </w:r>
          </w:p>
        </w:tc>
        <w:tc>
          <w:tcPr>
            <w:tcW w:w="1116" w:type="dxa"/>
            <w:shd w:val="clear" w:color="auto" w:fill="auto"/>
            <w:noWrap/>
          </w:tcPr>
          <w:p w:rsidR="00723899" w:rsidRPr="00B86522" w:rsidRDefault="00723899" w:rsidP="00723899">
            <w:pPr>
              <w:rPr>
                <w:b/>
                <w:sz w:val="24"/>
                <w:szCs w:val="24"/>
              </w:rPr>
            </w:pPr>
          </w:p>
        </w:tc>
      </w:tr>
      <w:tr w:rsidR="005B7273" w:rsidRPr="00B86522">
        <w:trPr>
          <w:trHeight w:val="315"/>
          <w:jc w:val="center"/>
        </w:trPr>
        <w:tc>
          <w:tcPr>
            <w:tcW w:w="5585" w:type="dxa"/>
            <w:shd w:val="clear" w:color="auto" w:fill="auto"/>
            <w:noWrap/>
          </w:tcPr>
          <w:p w:rsidR="005B7273" w:rsidRPr="00B86522" w:rsidRDefault="00C03685" w:rsidP="00723899">
            <w:pPr>
              <w:rPr>
                <w:sz w:val="24"/>
                <w:szCs w:val="24"/>
              </w:rPr>
            </w:pPr>
            <w:r w:rsidRPr="00B86522">
              <w:rPr>
                <w:sz w:val="24"/>
                <w:szCs w:val="24"/>
              </w:rPr>
              <w:t xml:space="preserve">   </w:t>
            </w:r>
            <w:r w:rsidR="005B7273" w:rsidRPr="00B86522">
              <w:rPr>
                <w:sz w:val="24"/>
                <w:szCs w:val="24"/>
              </w:rPr>
              <w:t>PACE Grant based on Ridership</w:t>
            </w:r>
          </w:p>
        </w:tc>
        <w:tc>
          <w:tcPr>
            <w:tcW w:w="996" w:type="dxa"/>
            <w:shd w:val="clear" w:color="auto" w:fill="auto"/>
            <w:noWrap/>
          </w:tcPr>
          <w:p w:rsidR="005B7273" w:rsidRPr="00B86522" w:rsidRDefault="00B86522" w:rsidP="00B86522">
            <w:pPr>
              <w:jc w:val="right"/>
              <w:rPr>
                <w:b/>
                <w:sz w:val="24"/>
                <w:szCs w:val="24"/>
              </w:rPr>
            </w:pPr>
            <w:r w:rsidRPr="00B86522">
              <w:rPr>
                <w:b/>
                <w:sz w:val="24"/>
                <w:szCs w:val="24"/>
              </w:rPr>
              <w:t>30</w:t>
            </w:r>
            <w:r w:rsidR="005B7273" w:rsidRPr="00B86522">
              <w:rPr>
                <w:b/>
                <w:sz w:val="24"/>
                <w:szCs w:val="24"/>
              </w:rPr>
              <w:t>,</w:t>
            </w:r>
            <w:r w:rsidRPr="00B86522">
              <w:rPr>
                <w:b/>
                <w:sz w:val="24"/>
                <w:szCs w:val="24"/>
              </w:rPr>
              <w:t>221</w:t>
            </w:r>
          </w:p>
        </w:tc>
        <w:tc>
          <w:tcPr>
            <w:tcW w:w="1116" w:type="dxa"/>
            <w:shd w:val="clear" w:color="auto" w:fill="auto"/>
            <w:noWrap/>
          </w:tcPr>
          <w:p w:rsidR="005B7273" w:rsidRPr="00B86522" w:rsidRDefault="005B7273" w:rsidP="00723899">
            <w:pPr>
              <w:rPr>
                <w:b/>
                <w:sz w:val="24"/>
                <w:szCs w:val="24"/>
              </w:rPr>
            </w:pPr>
          </w:p>
        </w:tc>
      </w:tr>
      <w:tr w:rsidR="005B7273" w:rsidRPr="00B86522">
        <w:trPr>
          <w:trHeight w:val="315"/>
          <w:jc w:val="center"/>
        </w:trPr>
        <w:tc>
          <w:tcPr>
            <w:tcW w:w="5585" w:type="dxa"/>
            <w:shd w:val="clear" w:color="auto" w:fill="auto"/>
            <w:noWrap/>
          </w:tcPr>
          <w:p w:rsidR="005B7273" w:rsidRPr="00B86522" w:rsidRDefault="00C03685" w:rsidP="00723899">
            <w:pPr>
              <w:rPr>
                <w:sz w:val="24"/>
                <w:szCs w:val="24"/>
              </w:rPr>
            </w:pPr>
            <w:r w:rsidRPr="00B86522">
              <w:rPr>
                <w:sz w:val="24"/>
                <w:szCs w:val="24"/>
              </w:rPr>
              <w:t xml:space="preserve">   </w:t>
            </w:r>
            <w:r w:rsidR="005B7273" w:rsidRPr="00B86522">
              <w:rPr>
                <w:sz w:val="24"/>
                <w:szCs w:val="24"/>
              </w:rPr>
              <w:t>Fare Box Revenue</w:t>
            </w:r>
          </w:p>
        </w:tc>
        <w:tc>
          <w:tcPr>
            <w:tcW w:w="996" w:type="dxa"/>
            <w:shd w:val="clear" w:color="auto" w:fill="auto"/>
            <w:noWrap/>
          </w:tcPr>
          <w:p w:rsidR="005B7273" w:rsidRPr="00B86522" w:rsidRDefault="00B86522" w:rsidP="00B86522">
            <w:pPr>
              <w:jc w:val="right"/>
              <w:rPr>
                <w:b/>
                <w:sz w:val="24"/>
                <w:szCs w:val="24"/>
                <w:u w:val="single"/>
              </w:rPr>
            </w:pPr>
            <w:r w:rsidRPr="00B86522">
              <w:rPr>
                <w:b/>
                <w:sz w:val="24"/>
                <w:szCs w:val="24"/>
                <w:u w:val="single"/>
              </w:rPr>
              <w:t>13</w:t>
            </w:r>
            <w:r w:rsidR="005B7273" w:rsidRPr="00B86522">
              <w:rPr>
                <w:b/>
                <w:sz w:val="24"/>
                <w:szCs w:val="24"/>
                <w:u w:val="single"/>
              </w:rPr>
              <w:t>,</w:t>
            </w:r>
            <w:r w:rsidRPr="00B86522">
              <w:rPr>
                <w:b/>
                <w:sz w:val="24"/>
                <w:szCs w:val="24"/>
                <w:u w:val="single"/>
              </w:rPr>
              <w:t>462</w:t>
            </w:r>
          </w:p>
        </w:tc>
        <w:tc>
          <w:tcPr>
            <w:tcW w:w="1116" w:type="dxa"/>
            <w:shd w:val="clear" w:color="auto" w:fill="auto"/>
            <w:noWrap/>
          </w:tcPr>
          <w:p w:rsidR="005B7273" w:rsidRPr="00B86522" w:rsidRDefault="005B7273" w:rsidP="00723899">
            <w:pPr>
              <w:rPr>
                <w:b/>
                <w:sz w:val="24"/>
                <w:szCs w:val="24"/>
              </w:rPr>
            </w:pPr>
          </w:p>
        </w:tc>
      </w:tr>
      <w:tr w:rsidR="005B7273" w:rsidRPr="006828AB">
        <w:trPr>
          <w:trHeight w:val="315"/>
          <w:jc w:val="center"/>
        </w:trPr>
        <w:tc>
          <w:tcPr>
            <w:tcW w:w="5585" w:type="dxa"/>
            <w:shd w:val="clear" w:color="auto" w:fill="auto"/>
            <w:noWrap/>
          </w:tcPr>
          <w:p w:rsidR="005B7273" w:rsidRPr="00B86522" w:rsidRDefault="005B7273" w:rsidP="00723899">
            <w:pPr>
              <w:rPr>
                <w:sz w:val="24"/>
                <w:szCs w:val="24"/>
              </w:rPr>
            </w:pPr>
          </w:p>
        </w:tc>
        <w:tc>
          <w:tcPr>
            <w:tcW w:w="996" w:type="dxa"/>
            <w:shd w:val="clear" w:color="auto" w:fill="auto"/>
            <w:noWrap/>
          </w:tcPr>
          <w:p w:rsidR="005B7273" w:rsidRPr="00B86522" w:rsidRDefault="005B7273" w:rsidP="00723899">
            <w:pPr>
              <w:rPr>
                <w:b/>
                <w:sz w:val="24"/>
                <w:szCs w:val="24"/>
              </w:rPr>
            </w:pPr>
          </w:p>
        </w:tc>
        <w:tc>
          <w:tcPr>
            <w:tcW w:w="1116" w:type="dxa"/>
            <w:shd w:val="clear" w:color="auto" w:fill="auto"/>
            <w:noWrap/>
          </w:tcPr>
          <w:p w:rsidR="005B7273" w:rsidRPr="00B86522" w:rsidRDefault="005B7273" w:rsidP="00B86522">
            <w:pPr>
              <w:jc w:val="right"/>
              <w:rPr>
                <w:b/>
                <w:sz w:val="24"/>
                <w:szCs w:val="24"/>
                <w:u w:val="double"/>
              </w:rPr>
            </w:pPr>
            <w:r w:rsidRPr="00B86522">
              <w:rPr>
                <w:b/>
                <w:sz w:val="24"/>
                <w:szCs w:val="24"/>
                <w:u w:val="double"/>
              </w:rPr>
              <w:t>$</w:t>
            </w:r>
            <w:r w:rsidR="00036663" w:rsidRPr="00B86522">
              <w:rPr>
                <w:b/>
                <w:sz w:val="24"/>
                <w:szCs w:val="24"/>
                <w:u w:val="double"/>
              </w:rPr>
              <w:t>9</w:t>
            </w:r>
            <w:r w:rsidR="00B86522" w:rsidRPr="00B86522">
              <w:rPr>
                <w:b/>
                <w:sz w:val="24"/>
                <w:szCs w:val="24"/>
                <w:u w:val="double"/>
              </w:rPr>
              <w:t>8</w:t>
            </w:r>
            <w:r w:rsidRPr="00B86522">
              <w:rPr>
                <w:b/>
                <w:sz w:val="24"/>
                <w:szCs w:val="24"/>
                <w:u w:val="double"/>
              </w:rPr>
              <w:t>,</w:t>
            </w:r>
            <w:r w:rsidR="00B86522" w:rsidRPr="00B86522">
              <w:rPr>
                <w:b/>
                <w:sz w:val="24"/>
                <w:szCs w:val="24"/>
                <w:u w:val="double"/>
              </w:rPr>
              <w:t>683</w:t>
            </w:r>
          </w:p>
        </w:tc>
      </w:tr>
    </w:tbl>
    <w:p w:rsidR="00BF34E3" w:rsidRPr="00B86522" w:rsidRDefault="00BF34E3">
      <w:pPr>
        <w:rPr>
          <w:sz w:val="12"/>
        </w:rPr>
      </w:pPr>
    </w:p>
    <w:p w:rsidR="00085764" w:rsidRPr="00B86522" w:rsidRDefault="00085764">
      <w:pPr>
        <w:rPr>
          <w:sz w:val="22"/>
          <w:szCs w:val="22"/>
        </w:rPr>
      </w:pPr>
      <w:r w:rsidRPr="00B86522">
        <w:rPr>
          <w:sz w:val="22"/>
          <w:szCs w:val="22"/>
        </w:rPr>
        <w:t>* The total Village cost of $</w:t>
      </w:r>
      <w:r w:rsidR="001C65DD" w:rsidRPr="00B86522">
        <w:rPr>
          <w:sz w:val="22"/>
          <w:szCs w:val="22"/>
        </w:rPr>
        <w:t>5</w:t>
      </w:r>
      <w:r w:rsidR="00B86522" w:rsidRPr="00B86522">
        <w:rPr>
          <w:sz w:val="22"/>
          <w:szCs w:val="22"/>
        </w:rPr>
        <w:t>5</w:t>
      </w:r>
      <w:r w:rsidRPr="00B86522">
        <w:rPr>
          <w:sz w:val="22"/>
          <w:szCs w:val="22"/>
        </w:rPr>
        <w:t>,</w:t>
      </w:r>
      <w:r w:rsidR="00B86522" w:rsidRPr="00B86522">
        <w:rPr>
          <w:sz w:val="22"/>
          <w:szCs w:val="22"/>
        </w:rPr>
        <w:t>0</w:t>
      </w:r>
      <w:r w:rsidR="00330FE3" w:rsidRPr="00B86522">
        <w:rPr>
          <w:sz w:val="22"/>
          <w:szCs w:val="22"/>
        </w:rPr>
        <w:t>00 represents a $</w:t>
      </w:r>
      <w:r w:rsidR="00036663" w:rsidRPr="00B86522">
        <w:rPr>
          <w:sz w:val="22"/>
          <w:szCs w:val="22"/>
        </w:rPr>
        <w:t>4</w:t>
      </w:r>
      <w:r w:rsidR="00B86522" w:rsidRPr="00B86522">
        <w:rPr>
          <w:sz w:val="22"/>
          <w:szCs w:val="22"/>
        </w:rPr>
        <w:t>6</w:t>
      </w:r>
      <w:r w:rsidRPr="00B86522">
        <w:rPr>
          <w:sz w:val="22"/>
          <w:szCs w:val="22"/>
        </w:rPr>
        <w:t>,</w:t>
      </w:r>
      <w:r w:rsidR="00B86522" w:rsidRPr="00B86522">
        <w:rPr>
          <w:sz w:val="22"/>
          <w:szCs w:val="22"/>
        </w:rPr>
        <w:t>5</w:t>
      </w:r>
      <w:r w:rsidRPr="00B86522">
        <w:rPr>
          <w:sz w:val="22"/>
          <w:szCs w:val="22"/>
        </w:rPr>
        <w:t xml:space="preserve">00 savings over </w:t>
      </w:r>
      <w:r w:rsidR="00445853" w:rsidRPr="00B86522">
        <w:rPr>
          <w:sz w:val="22"/>
          <w:szCs w:val="22"/>
        </w:rPr>
        <w:t>years when the Village operated the Jolly Trolley service.</w:t>
      </w:r>
    </w:p>
    <w:p w:rsidR="00CB0D01" w:rsidRPr="00B86522" w:rsidRDefault="00CB0D01" w:rsidP="00680A74">
      <w:pPr>
        <w:jc w:val="center"/>
        <w:rPr>
          <w:b/>
          <w:bCs/>
          <w:color w:val="000000"/>
          <w:sz w:val="24"/>
          <w:szCs w:val="24"/>
        </w:rPr>
      </w:pPr>
    </w:p>
    <w:p w:rsidR="00680A74" w:rsidRPr="00B86522" w:rsidRDefault="00680A74" w:rsidP="00680A74">
      <w:pPr>
        <w:jc w:val="center"/>
        <w:rPr>
          <w:b/>
          <w:bCs/>
          <w:color w:val="000000"/>
          <w:sz w:val="24"/>
          <w:szCs w:val="24"/>
        </w:rPr>
      </w:pPr>
      <w:r w:rsidRPr="00B86522">
        <w:rPr>
          <w:b/>
          <w:bCs/>
          <w:color w:val="000000"/>
          <w:sz w:val="24"/>
          <w:szCs w:val="24"/>
        </w:rPr>
        <w:t>ANTICIPATED GRANT REVENUE</w:t>
      </w:r>
    </w:p>
    <w:p w:rsidR="00056CC0" w:rsidRPr="006828AB" w:rsidRDefault="00056CC0" w:rsidP="00680A74">
      <w:pPr>
        <w:jc w:val="center"/>
        <w:rPr>
          <w:b/>
          <w:bCs/>
          <w:color w:val="000000"/>
          <w:sz w:val="24"/>
          <w:szCs w:val="24"/>
          <w:highlight w:val="yellow"/>
        </w:rPr>
      </w:pPr>
    </w:p>
    <w:p w:rsidR="00575548" w:rsidRPr="00B86522" w:rsidRDefault="00575548" w:rsidP="00575548">
      <w:pPr>
        <w:tabs>
          <w:tab w:val="left" w:pos="1440"/>
          <w:tab w:val="left" w:pos="6840"/>
        </w:tabs>
        <w:rPr>
          <w:b/>
          <w:color w:val="000000"/>
          <w:sz w:val="24"/>
          <w:szCs w:val="24"/>
          <w:u w:val="single"/>
        </w:rPr>
      </w:pPr>
      <w:r w:rsidRPr="00B86522">
        <w:rPr>
          <w:b/>
          <w:color w:val="000000"/>
          <w:sz w:val="24"/>
          <w:szCs w:val="24"/>
          <w:u w:val="single"/>
        </w:rPr>
        <w:t>General Fund:</w:t>
      </w:r>
    </w:p>
    <w:p w:rsidR="00575548" w:rsidRPr="00B86522" w:rsidRDefault="00575548" w:rsidP="00575548">
      <w:pPr>
        <w:tabs>
          <w:tab w:val="left" w:pos="1440"/>
          <w:tab w:val="left" w:pos="6840"/>
        </w:tabs>
        <w:rPr>
          <w:color w:val="000000"/>
          <w:sz w:val="24"/>
          <w:szCs w:val="24"/>
          <w:u w:val="single"/>
        </w:rPr>
      </w:pPr>
    </w:p>
    <w:p w:rsidR="00680A74" w:rsidRPr="00B86522" w:rsidRDefault="00575548" w:rsidP="00680A74">
      <w:pPr>
        <w:tabs>
          <w:tab w:val="left" w:pos="1440"/>
          <w:tab w:val="left" w:pos="6840"/>
        </w:tabs>
        <w:ind w:left="270"/>
        <w:rPr>
          <w:color w:val="000000"/>
          <w:sz w:val="24"/>
          <w:szCs w:val="24"/>
        </w:rPr>
      </w:pPr>
      <w:r w:rsidRPr="00B86522">
        <w:rPr>
          <w:color w:val="000000"/>
          <w:sz w:val="24"/>
          <w:szCs w:val="24"/>
        </w:rPr>
        <w:tab/>
      </w:r>
      <w:r w:rsidR="00680A74" w:rsidRPr="00B86522">
        <w:rPr>
          <w:color w:val="000000"/>
          <w:sz w:val="24"/>
          <w:szCs w:val="24"/>
        </w:rPr>
        <w:t xml:space="preserve">PACE Grant        </w:t>
      </w:r>
      <w:r w:rsidR="00680A74" w:rsidRPr="00B86522">
        <w:rPr>
          <w:color w:val="000000"/>
          <w:sz w:val="24"/>
          <w:szCs w:val="24"/>
        </w:rPr>
        <w:tab/>
        <w:t xml:space="preserve">$    </w:t>
      </w:r>
      <w:r w:rsidR="00B86522" w:rsidRPr="00B86522">
        <w:rPr>
          <w:color w:val="000000"/>
          <w:sz w:val="24"/>
          <w:szCs w:val="24"/>
        </w:rPr>
        <w:t>30</w:t>
      </w:r>
      <w:r w:rsidR="00EA7AB4" w:rsidRPr="00B86522">
        <w:rPr>
          <w:color w:val="000000"/>
          <w:sz w:val="24"/>
          <w:szCs w:val="24"/>
        </w:rPr>
        <w:t>,</w:t>
      </w:r>
      <w:r w:rsidR="00B86522" w:rsidRPr="00B86522">
        <w:rPr>
          <w:color w:val="000000"/>
          <w:sz w:val="24"/>
          <w:szCs w:val="24"/>
        </w:rPr>
        <w:t>221</w:t>
      </w:r>
    </w:p>
    <w:p w:rsidR="00B86522" w:rsidRPr="00B86522" w:rsidRDefault="00661685" w:rsidP="00680A74">
      <w:pPr>
        <w:tabs>
          <w:tab w:val="left" w:pos="1440"/>
          <w:tab w:val="left" w:pos="6840"/>
        </w:tabs>
        <w:ind w:left="270"/>
        <w:rPr>
          <w:color w:val="000000"/>
          <w:sz w:val="24"/>
          <w:szCs w:val="24"/>
        </w:rPr>
      </w:pPr>
      <w:r w:rsidRPr="00B86522">
        <w:rPr>
          <w:color w:val="000000"/>
          <w:sz w:val="24"/>
          <w:szCs w:val="24"/>
        </w:rPr>
        <w:tab/>
      </w:r>
      <w:r w:rsidR="00B86522" w:rsidRPr="00B86522">
        <w:rPr>
          <w:color w:val="000000"/>
          <w:sz w:val="24"/>
          <w:szCs w:val="24"/>
        </w:rPr>
        <w:t>SAFER Grant</w:t>
      </w:r>
      <w:r w:rsidR="00B86522" w:rsidRPr="00B86522">
        <w:rPr>
          <w:color w:val="000000"/>
          <w:sz w:val="24"/>
          <w:szCs w:val="24"/>
        </w:rPr>
        <w:tab/>
        <w:t xml:space="preserve">    255,000</w:t>
      </w:r>
    </w:p>
    <w:p w:rsidR="00B12F71" w:rsidRPr="00B86522" w:rsidRDefault="00B86522" w:rsidP="00680A74">
      <w:pPr>
        <w:tabs>
          <w:tab w:val="left" w:pos="1440"/>
          <w:tab w:val="left" w:pos="6840"/>
        </w:tabs>
        <w:ind w:left="270"/>
        <w:rPr>
          <w:color w:val="000000"/>
          <w:sz w:val="24"/>
          <w:szCs w:val="24"/>
        </w:rPr>
      </w:pPr>
      <w:r w:rsidRPr="00B86522">
        <w:rPr>
          <w:color w:val="000000"/>
          <w:sz w:val="24"/>
          <w:szCs w:val="24"/>
        </w:rPr>
        <w:tab/>
        <w:t>DCEO Grant for Hemlock St.</w:t>
      </w:r>
      <w:r w:rsidR="00EA7AB4" w:rsidRPr="00B86522">
        <w:rPr>
          <w:color w:val="000000"/>
          <w:sz w:val="24"/>
          <w:szCs w:val="24"/>
        </w:rPr>
        <w:tab/>
        <w:t xml:space="preserve">    </w:t>
      </w:r>
      <w:r w:rsidRPr="00B86522">
        <w:rPr>
          <w:color w:val="000000"/>
          <w:sz w:val="24"/>
          <w:szCs w:val="24"/>
        </w:rPr>
        <w:t>350</w:t>
      </w:r>
      <w:r w:rsidR="00EA7AB4" w:rsidRPr="00B86522">
        <w:rPr>
          <w:color w:val="000000"/>
          <w:sz w:val="24"/>
          <w:szCs w:val="24"/>
        </w:rPr>
        <w:t>,</w:t>
      </w:r>
      <w:r w:rsidRPr="00B86522">
        <w:rPr>
          <w:color w:val="000000"/>
          <w:sz w:val="24"/>
          <w:szCs w:val="24"/>
        </w:rPr>
        <w:t>000</w:t>
      </w:r>
    </w:p>
    <w:p w:rsidR="00262DCB" w:rsidRPr="00B86522" w:rsidRDefault="00262DCB" w:rsidP="00680A74">
      <w:pPr>
        <w:tabs>
          <w:tab w:val="left" w:pos="1440"/>
          <w:tab w:val="left" w:pos="6840"/>
        </w:tabs>
        <w:ind w:left="270"/>
        <w:rPr>
          <w:color w:val="000000"/>
          <w:sz w:val="24"/>
          <w:szCs w:val="24"/>
        </w:rPr>
      </w:pPr>
      <w:r w:rsidRPr="00B86522">
        <w:rPr>
          <w:color w:val="000000"/>
          <w:sz w:val="24"/>
          <w:szCs w:val="24"/>
        </w:rPr>
        <w:tab/>
      </w:r>
      <w:r w:rsidR="00B86522" w:rsidRPr="00B86522">
        <w:rPr>
          <w:color w:val="000000"/>
          <w:sz w:val="24"/>
          <w:szCs w:val="24"/>
        </w:rPr>
        <w:t>State of Illinois Grant for Building Security</w:t>
      </w:r>
      <w:r w:rsidR="00B86522" w:rsidRPr="00B86522">
        <w:rPr>
          <w:color w:val="000000"/>
          <w:sz w:val="24"/>
          <w:szCs w:val="24"/>
        </w:rPr>
        <w:tab/>
        <w:t xml:space="preserve">    100</w:t>
      </w:r>
      <w:r w:rsidRPr="00B86522">
        <w:rPr>
          <w:color w:val="000000"/>
          <w:sz w:val="24"/>
          <w:szCs w:val="24"/>
        </w:rPr>
        <w:t>,</w:t>
      </w:r>
      <w:r w:rsidR="00B86522" w:rsidRPr="00B86522">
        <w:rPr>
          <w:color w:val="000000"/>
          <w:sz w:val="24"/>
          <w:szCs w:val="24"/>
        </w:rPr>
        <w:t>0</w:t>
      </w:r>
      <w:r w:rsidRPr="00B86522">
        <w:rPr>
          <w:color w:val="000000"/>
          <w:sz w:val="24"/>
          <w:szCs w:val="24"/>
        </w:rPr>
        <w:t>00</w:t>
      </w:r>
    </w:p>
    <w:p w:rsidR="00262DCB" w:rsidRPr="00B86522" w:rsidRDefault="00262DCB" w:rsidP="00680A74">
      <w:pPr>
        <w:tabs>
          <w:tab w:val="left" w:pos="1440"/>
          <w:tab w:val="left" w:pos="6840"/>
        </w:tabs>
        <w:ind w:left="270"/>
        <w:rPr>
          <w:color w:val="000000"/>
          <w:sz w:val="24"/>
          <w:szCs w:val="24"/>
        </w:rPr>
      </w:pPr>
      <w:r w:rsidRPr="00B86522">
        <w:rPr>
          <w:color w:val="000000"/>
          <w:sz w:val="24"/>
          <w:szCs w:val="24"/>
        </w:rPr>
        <w:tab/>
      </w:r>
      <w:r w:rsidR="00B86522" w:rsidRPr="00B86522">
        <w:rPr>
          <w:color w:val="000000"/>
          <w:sz w:val="24"/>
          <w:szCs w:val="24"/>
        </w:rPr>
        <w:t>Invest in Cook Grant</w:t>
      </w:r>
      <w:r w:rsidR="00B86522" w:rsidRPr="00B86522">
        <w:rPr>
          <w:color w:val="000000"/>
          <w:sz w:val="24"/>
          <w:szCs w:val="24"/>
        </w:rPr>
        <w:tab/>
        <w:t xml:space="preserve">    4</w:t>
      </w:r>
      <w:r w:rsidR="00B86522">
        <w:rPr>
          <w:color w:val="000000"/>
          <w:sz w:val="24"/>
          <w:szCs w:val="24"/>
        </w:rPr>
        <w:t>8</w:t>
      </w:r>
      <w:r w:rsidR="00B86522" w:rsidRPr="00B86522">
        <w:rPr>
          <w:color w:val="000000"/>
          <w:sz w:val="24"/>
          <w:szCs w:val="24"/>
        </w:rPr>
        <w:t>0</w:t>
      </w:r>
      <w:r w:rsidR="008D01AD" w:rsidRPr="00B86522">
        <w:rPr>
          <w:color w:val="000000"/>
          <w:sz w:val="24"/>
          <w:szCs w:val="24"/>
        </w:rPr>
        <w:t>,000</w:t>
      </w:r>
    </w:p>
    <w:p w:rsidR="00661685" w:rsidRPr="00B86522" w:rsidRDefault="008D01AD" w:rsidP="00680A74">
      <w:pPr>
        <w:tabs>
          <w:tab w:val="left" w:pos="1440"/>
          <w:tab w:val="left" w:pos="6840"/>
        </w:tabs>
        <w:ind w:left="270"/>
        <w:rPr>
          <w:color w:val="000000"/>
          <w:sz w:val="24"/>
          <w:szCs w:val="24"/>
        </w:rPr>
      </w:pPr>
      <w:r w:rsidRPr="00B86522">
        <w:rPr>
          <w:color w:val="000000"/>
          <w:sz w:val="24"/>
          <w:szCs w:val="24"/>
        </w:rPr>
        <w:tab/>
      </w:r>
      <w:r w:rsidR="00661685" w:rsidRPr="00B86522">
        <w:rPr>
          <w:color w:val="000000"/>
          <w:sz w:val="24"/>
          <w:szCs w:val="24"/>
        </w:rPr>
        <w:t>Ar</w:t>
      </w:r>
      <w:r w:rsidR="00B12F71" w:rsidRPr="00B86522">
        <w:rPr>
          <w:color w:val="000000"/>
          <w:sz w:val="24"/>
          <w:szCs w:val="24"/>
        </w:rPr>
        <w:t>ts Council</w:t>
      </w:r>
      <w:r w:rsidR="00661685" w:rsidRPr="00B86522">
        <w:rPr>
          <w:color w:val="000000"/>
          <w:sz w:val="24"/>
          <w:szCs w:val="24"/>
        </w:rPr>
        <w:t xml:space="preserve"> Grant</w:t>
      </w:r>
      <w:r w:rsidR="00661685" w:rsidRPr="00B86522">
        <w:rPr>
          <w:color w:val="000000"/>
          <w:sz w:val="24"/>
          <w:szCs w:val="24"/>
        </w:rPr>
        <w:tab/>
      </w:r>
      <w:r w:rsidR="00477376" w:rsidRPr="00B86522">
        <w:rPr>
          <w:color w:val="000000"/>
          <w:sz w:val="24"/>
          <w:szCs w:val="24"/>
        </w:rPr>
        <w:tab/>
      </w:r>
      <w:r w:rsidR="00575548" w:rsidRPr="00B86522">
        <w:rPr>
          <w:color w:val="000000"/>
          <w:sz w:val="24"/>
          <w:szCs w:val="24"/>
          <w:u w:val="single"/>
        </w:rPr>
        <w:t xml:space="preserve"> </w:t>
      </w:r>
      <w:r w:rsidR="001964B6" w:rsidRPr="00B86522">
        <w:rPr>
          <w:color w:val="000000"/>
          <w:sz w:val="24"/>
          <w:szCs w:val="24"/>
          <w:u w:val="single"/>
        </w:rPr>
        <w:t xml:space="preserve"> </w:t>
      </w:r>
      <w:r w:rsidR="00262DCB" w:rsidRPr="00B86522">
        <w:rPr>
          <w:color w:val="000000"/>
          <w:sz w:val="24"/>
          <w:szCs w:val="24"/>
          <w:u w:val="single"/>
        </w:rPr>
        <w:t>7</w:t>
      </w:r>
      <w:r w:rsidR="00661685" w:rsidRPr="00B86522">
        <w:rPr>
          <w:color w:val="000000"/>
          <w:sz w:val="24"/>
          <w:szCs w:val="24"/>
          <w:u w:val="single"/>
        </w:rPr>
        <w:t>,</w:t>
      </w:r>
      <w:r w:rsidR="00262DCB" w:rsidRPr="00B86522">
        <w:rPr>
          <w:color w:val="000000"/>
          <w:sz w:val="24"/>
          <w:szCs w:val="24"/>
          <w:u w:val="single"/>
        </w:rPr>
        <w:t>5</w:t>
      </w:r>
      <w:r w:rsidR="00B12F71" w:rsidRPr="00B86522">
        <w:rPr>
          <w:color w:val="000000"/>
          <w:sz w:val="24"/>
          <w:szCs w:val="24"/>
          <w:u w:val="single"/>
        </w:rPr>
        <w:t>00</w:t>
      </w:r>
    </w:p>
    <w:p w:rsidR="00680A74" w:rsidRPr="00B86522" w:rsidRDefault="00680A74" w:rsidP="00680A74">
      <w:pPr>
        <w:tabs>
          <w:tab w:val="left" w:pos="1440"/>
          <w:tab w:val="left" w:pos="6840"/>
        </w:tabs>
        <w:ind w:left="270"/>
        <w:rPr>
          <w:sz w:val="24"/>
          <w:szCs w:val="24"/>
        </w:rPr>
      </w:pPr>
    </w:p>
    <w:p w:rsidR="00343F32" w:rsidRPr="00B86522" w:rsidRDefault="00680A74" w:rsidP="00680A74">
      <w:pPr>
        <w:tabs>
          <w:tab w:val="left" w:pos="1440"/>
          <w:tab w:val="left" w:pos="6840"/>
        </w:tabs>
        <w:ind w:firstLine="270"/>
        <w:rPr>
          <w:b/>
          <w:sz w:val="24"/>
          <w:szCs w:val="24"/>
        </w:rPr>
      </w:pPr>
      <w:r w:rsidRPr="00B86522">
        <w:rPr>
          <w:b/>
          <w:sz w:val="24"/>
          <w:szCs w:val="24"/>
        </w:rPr>
        <w:tab/>
        <w:t xml:space="preserve">Total </w:t>
      </w:r>
      <w:r w:rsidR="008967D0" w:rsidRPr="00B86522">
        <w:rPr>
          <w:b/>
          <w:sz w:val="24"/>
          <w:szCs w:val="24"/>
        </w:rPr>
        <w:t xml:space="preserve">General Fund </w:t>
      </w:r>
      <w:r w:rsidR="00B86522" w:rsidRPr="00B86522">
        <w:rPr>
          <w:b/>
          <w:sz w:val="24"/>
          <w:szCs w:val="24"/>
        </w:rPr>
        <w:t xml:space="preserve">Grants:                                        </w:t>
      </w:r>
      <w:r w:rsidR="00343F32" w:rsidRPr="00B86522">
        <w:rPr>
          <w:b/>
          <w:sz w:val="24"/>
          <w:szCs w:val="24"/>
        </w:rPr>
        <w:t>$</w:t>
      </w:r>
      <w:r w:rsidRPr="00B86522">
        <w:rPr>
          <w:b/>
          <w:sz w:val="24"/>
          <w:szCs w:val="24"/>
        </w:rPr>
        <w:t xml:space="preserve"> </w:t>
      </w:r>
      <w:r w:rsidR="00B86522" w:rsidRPr="00B86522">
        <w:rPr>
          <w:b/>
          <w:sz w:val="24"/>
          <w:szCs w:val="24"/>
        </w:rPr>
        <w:t>1,222</w:t>
      </w:r>
      <w:r w:rsidR="00B4354D" w:rsidRPr="00B86522">
        <w:rPr>
          <w:b/>
          <w:sz w:val="24"/>
          <w:szCs w:val="24"/>
        </w:rPr>
        <w:t>,</w:t>
      </w:r>
      <w:r w:rsidR="00B86522" w:rsidRPr="00B86522">
        <w:rPr>
          <w:b/>
          <w:sz w:val="24"/>
          <w:szCs w:val="24"/>
        </w:rPr>
        <w:t>721</w:t>
      </w:r>
    </w:p>
    <w:p w:rsidR="00343F32" w:rsidRPr="00B86522" w:rsidRDefault="00343F32" w:rsidP="00680A74">
      <w:pPr>
        <w:tabs>
          <w:tab w:val="left" w:pos="1440"/>
          <w:tab w:val="left" w:pos="6840"/>
        </w:tabs>
        <w:rPr>
          <w:b/>
          <w:sz w:val="24"/>
          <w:szCs w:val="24"/>
        </w:rPr>
      </w:pPr>
    </w:p>
    <w:p w:rsidR="00381B87" w:rsidRPr="006914B1" w:rsidRDefault="00964341" w:rsidP="00680A74">
      <w:pPr>
        <w:tabs>
          <w:tab w:val="left" w:pos="1440"/>
        </w:tabs>
        <w:rPr>
          <w:b/>
          <w:sz w:val="22"/>
          <w:szCs w:val="22"/>
        </w:rPr>
      </w:pPr>
      <w:r w:rsidRPr="006914B1">
        <w:rPr>
          <w:b/>
          <w:sz w:val="24"/>
          <w:szCs w:val="24"/>
          <w:u w:val="single"/>
        </w:rPr>
        <w:t>MFT</w:t>
      </w:r>
      <w:r w:rsidR="00D427B2" w:rsidRPr="006914B1">
        <w:rPr>
          <w:b/>
          <w:sz w:val="24"/>
          <w:szCs w:val="24"/>
          <w:u w:val="single"/>
        </w:rPr>
        <w:t>:</w:t>
      </w:r>
      <w:r w:rsidR="00D427B2" w:rsidRPr="006914B1">
        <w:rPr>
          <w:b/>
          <w:sz w:val="24"/>
          <w:szCs w:val="24"/>
        </w:rPr>
        <w:br/>
      </w:r>
    </w:p>
    <w:p w:rsidR="0030085D" w:rsidRPr="006914B1" w:rsidRDefault="00381B87" w:rsidP="00931747">
      <w:pPr>
        <w:tabs>
          <w:tab w:val="left" w:pos="1440"/>
          <w:tab w:val="left" w:pos="6840"/>
        </w:tabs>
        <w:rPr>
          <w:sz w:val="24"/>
          <w:szCs w:val="24"/>
        </w:rPr>
      </w:pPr>
      <w:r w:rsidRPr="006914B1">
        <w:rPr>
          <w:sz w:val="22"/>
          <w:szCs w:val="22"/>
        </w:rPr>
        <w:tab/>
      </w:r>
      <w:r w:rsidR="00A171A5" w:rsidRPr="006914B1">
        <w:rPr>
          <w:sz w:val="24"/>
          <w:szCs w:val="24"/>
        </w:rPr>
        <w:t>Shabbona</w:t>
      </w:r>
      <w:r w:rsidR="00680A74" w:rsidRPr="006914B1">
        <w:rPr>
          <w:sz w:val="24"/>
          <w:szCs w:val="24"/>
        </w:rPr>
        <w:t xml:space="preserve"> (Sauk </w:t>
      </w:r>
      <w:r w:rsidR="00A171A5" w:rsidRPr="006914B1">
        <w:rPr>
          <w:sz w:val="24"/>
          <w:szCs w:val="24"/>
        </w:rPr>
        <w:t xml:space="preserve">Trail </w:t>
      </w:r>
      <w:r w:rsidR="00680A74" w:rsidRPr="006914B1">
        <w:rPr>
          <w:sz w:val="24"/>
          <w:szCs w:val="24"/>
        </w:rPr>
        <w:t xml:space="preserve">to </w:t>
      </w:r>
      <w:r w:rsidR="00A171A5" w:rsidRPr="006914B1">
        <w:rPr>
          <w:sz w:val="24"/>
          <w:szCs w:val="24"/>
        </w:rPr>
        <w:t>Indianwood</w:t>
      </w:r>
      <w:r w:rsidR="00680A74" w:rsidRPr="006914B1">
        <w:rPr>
          <w:sz w:val="24"/>
          <w:szCs w:val="24"/>
        </w:rPr>
        <w:t>)</w:t>
      </w:r>
      <w:r w:rsidR="00A3263E" w:rsidRPr="006914B1">
        <w:rPr>
          <w:sz w:val="24"/>
          <w:szCs w:val="24"/>
        </w:rPr>
        <w:t xml:space="preserve"> </w:t>
      </w:r>
      <w:r w:rsidR="00A171A5" w:rsidRPr="006914B1">
        <w:rPr>
          <w:sz w:val="24"/>
          <w:szCs w:val="24"/>
        </w:rPr>
        <w:t>Design</w:t>
      </w:r>
      <w:r w:rsidR="006914B1" w:rsidRPr="006914B1">
        <w:rPr>
          <w:sz w:val="24"/>
          <w:szCs w:val="24"/>
        </w:rPr>
        <w:t xml:space="preserve"> &amp; CE</w:t>
      </w:r>
      <w:r w:rsidR="00B1776C" w:rsidRPr="006914B1">
        <w:rPr>
          <w:sz w:val="24"/>
          <w:szCs w:val="24"/>
        </w:rPr>
        <w:tab/>
      </w:r>
      <w:r w:rsidR="00B1776C" w:rsidRPr="006914B1">
        <w:rPr>
          <w:sz w:val="24"/>
          <w:szCs w:val="24"/>
          <w:u w:val="single"/>
        </w:rPr>
        <w:t xml:space="preserve">  </w:t>
      </w:r>
      <w:r w:rsidR="00724109" w:rsidRPr="006914B1">
        <w:rPr>
          <w:sz w:val="24"/>
          <w:szCs w:val="24"/>
          <w:u w:val="single"/>
        </w:rPr>
        <w:t xml:space="preserve"> </w:t>
      </w:r>
      <w:r w:rsidR="00E5455C" w:rsidRPr="006914B1">
        <w:rPr>
          <w:sz w:val="24"/>
          <w:szCs w:val="24"/>
          <w:u w:val="single"/>
        </w:rPr>
        <w:t xml:space="preserve"> </w:t>
      </w:r>
      <w:r w:rsidR="006914B1" w:rsidRPr="006914B1">
        <w:rPr>
          <w:sz w:val="24"/>
          <w:szCs w:val="24"/>
          <w:u w:val="single"/>
        </w:rPr>
        <w:t>179</w:t>
      </w:r>
      <w:r w:rsidR="00FF011F" w:rsidRPr="006914B1">
        <w:rPr>
          <w:sz w:val="24"/>
          <w:szCs w:val="24"/>
          <w:u w:val="single"/>
        </w:rPr>
        <w:t>,</w:t>
      </w:r>
      <w:r w:rsidR="006914B1" w:rsidRPr="006914B1">
        <w:rPr>
          <w:sz w:val="24"/>
          <w:szCs w:val="24"/>
          <w:u w:val="single"/>
        </w:rPr>
        <w:t>209</w:t>
      </w:r>
    </w:p>
    <w:p w:rsidR="00454911" w:rsidRPr="006914B1" w:rsidRDefault="00454911" w:rsidP="00680A74">
      <w:pPr>
        <w:tabs>
          <w:tab w:val="left" w:pos="1440"/>
        </w:tabs>
        <w:ind w:left="1440"/>
        <w:rPr>
          <w:sz w:val="24"/>
          <w:szCs w:val="24"/>
        </w:rPr>
      </w:pPr>
    </w:p>
    <w:p w:rsidR="006F291D" w:rsidRPr="006914B1" w:rsidRDefault="00144053" w:rsidP="00056CC0">
      <w:pPr>
        <w:tabs>
          <w:tab w:val="left" w:pos="1440"/>
          <w:tab w:val="left" w:pos="6840"/>
        </w:tabs>
        <w:ind w:left="1440"/>
        <w:rPr>
          <w:b/>
          <w:sz w:val="24"/>
          <w:szCs w:val="24"/>
          <w:u w:val="double"/>
        </w:rPr>
      </w:pPr>
      <w:r w:rsidRPr="006914B1">
        <w:rPr>
          <w:b/>
          <w:sz w:val="24"/>
          <w:szCs w:val="24"/>
        </w:rPr>
        <w:t>Total MFT</w:t>
      </w:r>
      <w:r w:rsidR="00454911" w:rsidRPr="006914B1">
        <w:rPr>
          <w:b/>
          <w:sz w:val="24"/>
          <w:szCs w:val="24"/>
        </w:rPr>
        <w:t xml:space="preserve"> Grants</w:t>
      </w:r>
      <w:r w:rsidR="00056CC0" w:rsidRPr="006914B1">
        <w:rPr>
          <w:b/>
          <w:sz w:val="24"/>
          <w:szCs w:val="24"/>
        </w:rPr>
        <w:t xml:space="preserve"> </w:t>
      </w:r>
      <w:r w:rsidR="00056CC0" w:rsidRPr="006914B1">
        <w:rPr>
          <w:b/>
          <w:sz w:val="24"/>
          <w:szCs w:val="24"/>
        </w:rPr>
        <w:tab/>
      </w:r>
      <w:r w:rsidR="00A171A5" w:rsidRPr="006914B1">
        <w:rPr>
          <w:b/>
          <w:sz w:val="24"/>
          <w:szCs w:val="24"/>
        </w:rPr>
        <w:t xml:space="preserve"> </w:t>
      </w:r>
      <w:r w:rsidR="00273C31" w:rsidRPr="006914B1">
        <w:rPr>
          <w:b/>
          <w:sz w:val="24"/>
          <w:szCs w:val="24"/>
        </w:rPr>
        <w:t xml:space="preserve">$ </w:t>
      </w:r>
      <w:r w:rsidR="006914B1" w:rsidRPr="006914B1">
        <w:rPr>
          <w:b/>
          <w:sz w:val="24"/>
          <w:szCs w:val="24"/>
        </w:rPr>
        <w:t>179</w:t>
      </w:r>
      <w:r w:rsidR="00273C31" w:rsidRPr="006914B1">
        <w:rPr>
          <w:b/>
          <w:sz w:val="24"/>
          <w:szCs w:val="24"/>
        </w:rPr>
        <w:t>,</w:t>
      </w:r>
      <w:r w:rsidR="006914B1" w:rsidRPr="006914B1">
        <w:rPr>
          <w:b/>
          <w:sz w:val="24"/>
          <w:szCs w:val="24"/>
        </w:rPr>
        <w:t>209</w:t>
      </w:r>
    </w:p>
    <w:p w:rsidR="0046412E" w:rsidRDefault="0046412E">
      <w:pPr>
        <w:pStyle w:val="Heading4"/>
      </w:pPr>
    </w:p>
    <w:p w:rsidR="00BF34E3" w:rsidRPr="00036936" w:rsidRDefault="00BF34E3">
      <w:pPr>
        <w:pStyle w:val="Heading4"/>
      </w:pPr>
      <w:r w:rsidRPr="00036936">
        <w:t xml:space="preserve">Transfers </w:t>
      </w:r>
      <w:r w:rsidR="00DB5CA2" w:rsidRPr="00036936">
        <w:t>from</w:t>
      </w:r>
      <w:r w:rsidRPr="00036936">
        <w:t xml:space="preserve"> Other Funds and Miscellaneous</w:t>
      </w:r>
    </w:p>
    <w:p w:rsidR="00BF34E3" w:rsidRPr="00036936" w:rsidRDefault="00BF34E3">
      <w:pPr>
        <w:rPr>
          <w:sz w:val="24"/>
          <w:szCs w:val="24"/>
        </w:rPr>
      </w:pPr>
    </w:p>
    <w:p w:rsidR="00BF34E3" w:rsidRPr="00036936" w:rsidRDefault="00BF34E3">
      <w:pPr>
        <w:rPr>
          <w:sz w:val="24"/>
          <w:szCs w:val="24"/>
        </w:rPr>
      </w:pPr>
      <w:r w:rsidRPr="00036936">
        <w:rPr>
          <w:sz w:val="24"/>
        </w:rPr>
        <w:t xml:space="preserve">Cost allocation is a process by which enterprise funds or component units </w:t>
      </w:r>
      <w:r w:rsidR="00A621C1" w:rsidRPr="00036936">
        <w:rPr>
          <w:sz w:val="24"/>
        </w:rPr>
        <w:t xml:space="preserve">(Library) </w:t>
      </w:r>
      <w:r w:rsidRPr="00036936">
        <w:rPr>
          <w:sz w:val="24"/>
        </w:rPr>
        <w:t>reimburse the Village a portion of the indirect costs incurred by that fund.  Several years ago, the Village hired a consultant and undertook an extensive and expensive cost allocation study.  An in-house review of the cost allocating method showed that an allocation based on percentage of revenue generated by the</w:t>
      </w:r>
      <w:r w:rsidR="00A621C1" w:rsidRPr="00036936">
        <w:rPr>
          <w:sz w:val="24"/>
        </w:rPr>
        <w:t>se</w:t>
      </w:r>
      <w:r w:rsidRPr="00036936">
        <w:rPr>
          <w:sz w:val="24"/>
        </w:rPr>
        <w:t xml:space="preserve"> fund</w:t>
      </w:r>
      <w:r w:rsidR="00A621C1" w:rsidRPr="00036936">
        <w:rPr>
          <w:sz w:val="24"/>
        </w:rPr>
        <w:t>s</w:t>
      </w:r>
      <w:r w:rsidRPr="00036936">
        <w:rPr>
          <w:sz w:val="24"/>
        </w:rPr>
        <w:t xml:space="preserve"> would be consistent with most cost allocation methods</w:t>
      </w:r>
      <w:r w:rsidRPr="005A214F">
        <w:rPr>
          <w:sz w:val="24"/>
        </w:rPr>
        <w:t xml:space="preserve">.  Based on the </w:t>
      </w:r>
      <w:r w:rsidR="004F54F0" w:rsidRPr="005A214F">
        <w:rPr>
          <w:sz w:val="24"/>
        </w:rPr>
        <w:t>methods used</w:t>
      </w:r>
      <w:r w:rsidRPr="005A214F">
        <w:rPr>
          <w:sz w:val="24"/>
        </w:rPr>
        <w:t xml:space="preserve"> by the in-house review, the transfers from the enterprise funds and </w:t>
      </w:r>
      <w:r w:rsidR="004F54F0" w:rsidRPr="005A214F">
        <w:rPr>
          <w:sz w:val="24"/>
        </w:rPr>
        <w:t>Library</w:t>
      </w:r>
      <w:r w:rsidRPr="005A214F">
        <w:rPr>
          <w:sz w:val="24"/>
        </w:rPr>
        <w:t xml:space="preserve"> to the General Fund that</w:t>
      </w:r>
      <w:r w:rsidRPr="00036936">
        <w:rPr>
          <w:sz w:val="24"/>
        </w:rPr>
        <w:t xml:space="preserve"> are planned in the 20</w:t>
      </w:r>
      <w:r w:rsidR="00A621C1" w:rsidRPr="00036936">
        <w:rPr>
          <w:sz w:val="24"/>
        </w:rPr>
        <w:t>2</w:t>
      </w:r>
      <w:r w:rsidR="00036936" w:rsidRPr="00036936">
        <w:rPr>
          <w:sz w:val="24"/>
        </w:rPr>
        <w:t>2</w:t>
      </w:r>
      <w:r w:rsidRPr="00036936">
        <w:rPr>
          <w:sz w:val="24"/>
        </w:rPr>
        <w:t>/</w:t>
      </w:r>
      <w:r w:rsidR="004D628F" w:rsidRPr="00036936">
        <w:rPr>
          <w:sz w:val="24"/>
        </w:rPr>
        <w:t>20</w:t>
      </w:r>
      <w:r w:rsidR="001357EC" w:rsidRPr="00036936">
        <w:rPr>
          <w:sz w:val="24"/>
        </w:rPr>
        <w:t>2</w:t>
      </w:r>
      <w:r w:rsidR="00036936" w:rsidRPr="00036936">
        <w:rPr>
          <w:sz w:val="24"/>
        </w:rPr>
        <w:t>3</w:t>
      </w:r>
      <w:r w:rsidR="002B7975" w:rsidRPr="00036936">
        <w:rPr>
          <w:sz w:val="24"/>
        </w:rPr>
        <w:t xml:space="preserve"> </w:t>
      </w:r>
      <w:r w:rsidRPr="00036936">
        <w:rPr>
          <w:sz w:val="24"/>
        </w:rPr>
        <w:t xml:space="preserve">Budget </w:t>
      </w:r>
      <w:r w:rsidR="00DD5FCC" w:rsidRPr="00036936">
        <w:rPr>
          <w:sz w:val="24"/>
        </w:rPr>
        <w:t>are</w:t>
      </w:r>
      <w:r w:rsidRPr="00036936">
        <w:rPr>
          <w:sz w:val="24"/>
        </w:rPr>
        <w:t>:</w:t>
      </w:r>
    </w:p>
    <w:p w:rsidR="00680A74" w:rsidRPr="00036936" w:rsidRDefault="00680A74" w:rsidP="00727FB6">
      <w:pPr>
        <w:tabs>
          <w:tab w:val="left" w:pos="720"/>
          <w:tab w:val="left" w:pos="1080"/>
          <w:tab w:val="left" w:pos="1440"/>
          <w:tab w:val="left" w:pos="1620"/>
          <w:tab w:val="left" w:pos="5220"/>
          <w:tab w:val="left" w:pos="5670"/>
          <w:tab w:val="left" w:pos="5760"/>
          <w:tab w:val="left" w:pos="5850"/>
          <w:tab w:val="left" w:pos="5940"/>
        </w:tabs>
        <w:rPr>
          <w:sz w:val="24"/>
          <w:u w:val="single"/>
        </w:rPr>
      </w:pPr>
    </w:p>
    <w:p w:rsidR="00BF34E3" w:rsidRPr="00036936" w:rsidRDefault="00727FB6" w:rsidP="00727FB6">
      <w:pPr>
        <w:tabs>
          <w:tab w:val="left" w:pos="720"/>
          <w:tab w:val="left" w:pos="1080"/>
          <w:tab w:val="left" w:pos="1440"/>
          <w:tab w:val="left" w:pos="1620"/>
          <w:tab w:val="left" w:pos="5220"/>
          <w:tab w:val="left" w:pos="5670"/>
          <w:tab w:val="left" w:pos="5760"/>
          <w:tab w:val="left" w:pos="5850"/>
          <w:tab w:val="left" w:pos="5940"/>
        </w:tabs>
        <w:rPr>
          <w:b/>
          <w:sz w:val="24"/>
          <w:u w:val="single"/>
        </w:rPr>
      </w:pPr>
      <w:r w:rsidRPr="00036936">
        <w:rPr>
          <w:b/>
          <w:sz w:val="24"/>
          <w:u w:val="single"/>
        </w:rPr>
        <w:t xml:space="preserve">Standard </w:t>
      </w:r>
      <w:r w:rsidR="00BF34E3" w:rsidRPr="00036936">
        <w:rPr>
          <w:b/>
          <w:sz w:val="24"/>
          <w:u w:val="single"/>
        </w:rPr>
        <w:t>Fund</w:t>
      </w:r>
      <w:r w:rsidRPr="00036936">
        <w:rPr>
          <w:b/>
          <w:sz w:val="24"/>
          <w:u w:val="single"/>
        </w:rPr>
        <w:t xml:space="preserve"> Transfers</w:t>
      </w:r>
      <w:r w:rsidR="00BF34E3" w:rsidRPr="00036936">
        <w:rPr>
          <w:b/>
          <w:sz w:val="24"/>
        </w:rPr>
        <w:tab/>
      </w:r>
      <w:r w:rsidR="00644884" w:rsidRPr="00036936">
        <w:rPr>
          <w:b/>
          <w:sz w:val="24"/>
          <w:u w:val="single"/>
        </w:rPr>
        <w:t>20</w:t>
      </w:r>
      <w:r w:rsidR="00A621C1" w:rsidRPr="00036936">
        <w:rPr>
          <w:b/>
          <w:sz w:val="24"/>
          <w:u w:val="single"/>
        </w:rPr>
        <w:t>2</w:t>
      </w:r>
      <w:r w:rsidR="00036936" w:rsidRPr="00036936">
        <w:rPr>
          <w:b/>
          <w:sz w:val="24"/>
          <w:u w:val="single"/>
        </w:rPr>
        <w:t>2</w:t>
      </w:r>
      <w:r w:rsidR="00644884" w:rsidRPr="00036936">
        <w:rPr>
          <w:b/>
          <w:sz w:val="24"/>
          <w:u w:val="single"/>
        </w:rPr>
        <w:t>/</w:t>
      </w:r>
      <w:r w:rsidR="002E2BCB" w:rsidRPr="00036936">
        <w:rPr>
          <w:b/>
          <w:sz w:val="24"/>
          <w:u w:val="single"/>
        </w:rPr>
        <w:t>20</w:t>
      </w:r>
      <w:r w:rsidR="001357EC" w:rsidRPr="00036936">
        <w:rPr>
          <w:b/>
          <w:sz w:val="24"/>
          <w:u w:val="single"/>
        </w:rPr>
        <w:t>2</w:t>
      </w:r>
      <w:r w:rsidR="00036936" w:rsidRPr="00036936">
        <w:rPr>
          <w:b/>
          <w:sz w:val="24"/>
          <w:u w:val="single"/>
        </w:rPr>
        <w:t>3</w:t>
      </w:r>
      <w:r w:rsidR="00BF34E3" w:rsidRPr="00036936">
        <w:rPr>
          <w:b/>
          <w:sz w:val="24"/>
          <w:u w:val="single"/>
        </w:rPr>
        <w:t xml:space="preserve"> Transfer</w:t>
      </w:r>
    </w:p>
    <w:p w:rsidR="00BF34E3" w:rsidRPr="00CA2DE8" w:rsidRDefault="000C0EBA" w:rsidP="00727FB6">
      <w:pPr>
        <w:pStyle w:val="Heading1"/>
        <w:tabs>
          <w:tab w:val="clear" w:pos="709"/>
          <w:tab w:val="clear" w:pos="1440"/>
          <w:tab w:val="clear" w:pos="2160"/>
          <w:tab w:val="clear" w:pos="2880"/>
          <w:tab w:val="clear" w:pos="3600"/>
          <w:tab w:val="clear" w:pos="4320"/>
          <w:tab w:val="left" w:pos="1080"/>
          <w:tab w:val="left" w:pos="1620"/>
          <w:tab w:val="left" w:pos="5220"/>
          <w:tab w:val="left" w:pos="5580"/>
          <w:tab w:val="left" w:pos="5670"/>
          <w:tab w:val="left" w:pos="5760"/>
          <w:tab w:val="left" w:pos="5940"/>
          <w:tab w:val="left" w:pos="6030"/>
          <w:tab w:val="left" w:pos="6120"/>
        </w:tabs>
      </w:pPr>
      <w:r w:rsidRPr="00CA2DE8">
        <w:rPr>
          <w:b/>
          <w:i/>
        </w:rPr>
        <w:tab/>
      </w:r>
      <w:r w:rsidR="00727FB6" w:rsidRPr="00CA2DE8">
        <w:rPr>
          <w:b/>
          <w:i/>
        </w:rPr>
        <w:tab/>
      </w:r>
      <w:r w:rsidRPr="00CA2DE8">
        <w:t>Water</w:t>
      </w:r>
      <w:r w:rsidR="00BF34E3" w:rsidRPr="00CA2DE8">
        <w:tab/>
      </w:r>
      <w:r w:rsidR="00C91CB6" w:rsidRPr="00CA2DE8">
        <w:t xml:space="preserve">    </w:t>
      </w:r>
      <w:r w:rsidR="00BF34E3" w:rsidRPr="00CA2DE8">
        <w:t>$</w:t>
      </w:r>
      <w:r w:rsidR="00C91CB6" w:rsidRPr="00CA2DE8">
        <w:t xml:space="preserve">   </w:t>
      </w:r>
      <w:r w:rsidR="00AF3949" w:rsidRPr="00CA2DE8">
        <w:t>909</w:t>
      </w:r>
      <w:r w:rsidR="00BF34E3" w:rsidRPr="00CA2DE8">
        <w:t>,</w:t>
      </w:r>
      <w:r w:rsidR="00AF3949" w:rsidRPr="00CA2DE8">
        <w:t>121</w:t>
      </w:r>
    </w:p>
    <w:p w:rsidR="00BF34E3" w:rsidRPr="00CA2DE8" w:rsidRDefault="000C0EBA" w:rsidP="00727FB6">
      <w:pPr>
        <w:tabs>
          <w:tab w:val="left" w:pos="1080"/>
          <w:tab w:val="left" w:pos="1620"/>
          <w:tab w:val="left" w:pos="5220"/>
          <w:tab w:val="left" w:pos="5580"/>
          <w:tab w:val="left" w:pos="5670"/>
          <w:tab w:val="left" w:pos="5760"/>
          <w:tab w:val="left" w:pos="5850"/>
          <w:tab w:val="left" w:pos="5940"/>
          <w:tab w:val="left" w:pos="6030"/>
          <w:tab w:val="left" w:pos="6120"/>
        </w:tabs>
        <w:rPr>
          <w:sz w:val="24"/>
        </w:rPr>
      </w:pPr>
      <w:r w:rsidRPr="00CA2DE8">
        <w:rPr>
          <w:sz w:val="24"/>
        </w:rPr>
        <w:tab/>
      </w:r>
      <w:r w:rsidR="00727FB6" w:rsidRPr="00CA2DE8">
        <w:rPr>
          <w:sz w:val="24"/>
        </w:rPr>
        <w:tab/>
      </w:r>
      <w:r w:rsidRPr="00CA2DE8">
        <w:rPr>
          <w:sz w:val="24"/>
        </w:rPr>
        <w:t>Sewer</w:t>
      </w:r>
      <w:r w:rsidRPr="00CA2DE8">
        <w:rPr>
          <w:sz w:val="24"/>
        </w:rPr>
        <w:tab/>
      </w:r>
      <w:r w:rsidRPr="00CA2DE8">
        <w:rPr>
          <w:sz w:val="24"/>
        </w:rPr>
        <w:tab/>
      </w:r>
      <w:r w:rsidR="00133BCA" w:rsidRPr="00CA2DE8">
        <w:rPr>
          <w:sz w:val="24"/>
        </w:rPr>
        <w:tab/>
      </w:r>
      <w:r w:rsidR="00065E43" w:rsidRPr="00CA2DE8">
        <w:rPr>
          <w:sz w:val="24"/>
        </w:rPr>
        <w:tab/>
      </w:r>
      <w:r w:rsidR="008D0667" w:rsidRPr="00CA2DE8">
        <w:rPr>
          <w:sz w:val="24"/>
        </w:rPr>
        <w:t>1</w:t>
      </w:r>
      <w:r w:rsidR="00AF3949" w:rsidRPr="00CA2DE8">
        <w:rPr>
          <w:sz w:val="24"/>
        </w:rPr>
        <w:t>4</w:t>
      </w:r>
      <w:r w:rsidR="004F54F0" w:rsidRPr="00CA2DE8">
        <w:rPr>
          <w:sz w:val="24"/>
        </w:rPr>
        <w:t>6</w:t>
      </w:r>
      <w:r w:rsidR="00C91CB6" w:rsidRPr="00CA2DE8">
        <w:rPr>
          <w:sz w:val="24"/>
        </w:rPr>
        <w:t>,</w:t>
      </w:r>
      <w:r w:rsidR="004F54F0" w:rsidRPr="00CA2DE8">
        <w:rPr>
          <w:sz w:val="24"/>
        </w:rPr>
        <w:t>907</w:t>
      </w:r>
    </w:p>
    <w:p w:rsidR="00BF34E3" w:rsidRPr="00CA2DE8" w:rsidRDefault="00BF34E3" w:rsidP="00727FB6">
      <w:pPr>
        <w:tabs>
          <w:tab w:val="left" w:pos="1080"/>
          <w:tab w:val="left" w:pos="1620"/>
          <w:tab w:val="left" w:pos="5220"/>
          <w:tab w:val="left" w:pos="5580"/>
          <w:tab w:val="left" w:pos="5670"/>
          <w:tab w:val="left" w:pos="5760"/>
          <w:tab w:val="left" w:pos="5850"/>
          <w:tab w:val="left" w:pos="5940"/>
          <w:tab w:val="left" w:pos="6030"/>
          <w:tab w:val="left" w:pos="6120"/>
        </w:tabs>
        <w:rPr>
          <w:sz w:val="24"/>
        </w:rPr>
      </w:pPr>
      <w:r w:rsidRPr="00CA2DE8">
        <w:rPr>
          <w:sz w:val="24"/>
        </w:rPr>
        <w:tab/>
      </w:r>
      <w:r w:rsidR="00727FB6" w:rsidRPr="00CA2DE8">
        <w:rPr>
          <w:sz w:val="24"/>
        </w:rPr>
        <w:tab/>
      </w:r>
      <w:r w:rsidRPr="00CA2DE8">
        <w:rPr>
          <w:sz w:val="24"/>
        </w:rPr>
        <w:t>Refuse</w:t>
      </w:r>
      <w:r w:rsidR="00F11535" w:rsidRPr="00CA2DE8">
        <w:rPr>
          <w:sz w:val="24"/>
        </w:rPr>
        <w:t xml:space="preserve">                                                         </w:t>
      </w:r>
      <w:r w:rsidR="00133BCA" w:rsidRPr="00CA2DE8">
        <w:rPr>
          <w:sz w:val="24"/>
        </w:rPr>
        <w:tab/>
      </w:r>
      <w:r w:rsidR="0021630E" w:rsidRPr="00CA2DE8">
        <w:rPr>
          <w:sz w:val="24"/>
        </w:rPr>
        <w:t>1</w:t>
      </w:r>
      <w:r w:rsidR="00B64F71" w:rsidRPr="00CA2DE8">
        <w:rPr>
          <w:sz w:val="24"/>
        </w:rPr>
        <w:t>78</w:t>
      </w:r>
      <w:r w:rsidRPr="00CA2DE8">
        <w:rPr>
          <w:sz w:val="24"/>
        </w:rPr>
        <w:t>,</w:t>
      </w:r>
      <w:r w:rsidR="00B64F71" w:rsidRPr="00CA2DE8">
        <w:rPr>
          <w:sz w:val="24"/>
        </w:rPr>
        <w:t>682</w:t>
      </w:r>
    </w:p>
    <w:p w:rsidR="00BF34E3" w:rsidRPr="00CA2DE8" w:rsidRDefault="00BF34E3" w:rsidP="00727FB6">
      <w:pPr>
        <w:pStyle w:val="BodyText"/>
        <w:tabs>
          <w:tab w:val="clear" w:pos="709"/>
          <w:tab w:val="left" w:pos="1080"/>
          <w:tab w:val="left" w:pos="1620"/>
          <w:tab w:val="left" w:pos="5220"/>
          <w:tab w:val="left" w:pos="5580"/>
          <w:tab w:val="left" w:pos="5670"/>
          <w:tab w:val="left" w:pos="5760"/>
          <w:tab w:val="left" w:pos="5940"/>
          <w:tab w:val="left" w:pos="6030"/>
          <w:tab w:val="left" w:pos="6120"/>
        </w:tabs>
      </w:pPr>
      <w:r w:rsidRPr="00CA2DE8">
        <w:tab/>
      </w:r>
      <w:r w:rsidR="00727FB6" w:rsidRPr="00CA2DE8">
        <w:tab/>
      </w:r>
      <w:r w:rsidRPr="00CA2DE8">
        <w:t>Refu</w:t>
      </w:r>
      <w:r w:rsidR="0006244E" w:rsidRPr="00CA2DE8">
        <w:t>se</w:t>
      </w:r>
      <w:r w:rsidR="00133BCA" w:rsidRPr="00CA2DE8">
        <w:t xml:space="preserve"> (Municipal Buildings pickup)</w:t>
      </w:r>
      <w:r w:rsidR="00133BCA" w:rsidRPr="00CA2DE8">
        <w:tab/>
      </w:r>
      <w:r w:rsidR="00133BCA" w:rsidRPr="00CA2DE8">
        <w:tab/>
      </w:r>
      <w:r w:rsidR="008E1D49" w:rsidRPr="00CA2DE8">
        <w:tab/>
      </w:r>
      <w:r w:rsidR="00FF011F" w:rsidRPr="00CA2DE8">
        <w:t xml:space="preserve"> (</w:t>
      </w:r>
      <w:r w:rsidR="006B0EBA" w:rsidRPr="00CA2DE8">
        <w:t>3</w:t>
      </w:r>
      <w:r w:rsidR="00FF011F" w:rsidRPr="00CA2DE8">
        <w:t>0,000</w:t>
      </w:r>
      <w:r w:rsidRPr="00CA2DE8">
        <w:t>)</w:t>
      </w:r>
    </w:p>
    <w:p w:rsidR="00BF34E3" w:rsidRPr="00CA2DE8" w:rsidRDefault="00BF34E3" w:rsidP="00727FB6">
      <w:pPr>
        <w:tabs>
          <w:tab w:val="left" w:pos="1080"/>
          <w:tab w:val="left" w:pos="1620"/>
          <w:tab w:val="left" w:pos="5220"/>
          <w:tab w:val="left" w:pos="5580"/>
          <w:tab w:val="left" w:pos="5670"/>
          <w:tab w:val="left" w:pos="5760"/>
          <w:tab w:val="left" w:pos="5850"/>
          <w:tab w:val="left" w:pos="5940"/>
          <w:tab w:val="left" w:pos="6030"/>
          <w:tab w:val="left" w:pos="6120"/>
        </w:tabs>
        <w:rPr>
          <w:sz w:val="24"/>
        </w:rPr>
      </w:pPr>
      <w:r w:rsidRPr="00CA2DE8">
        <w:rPr>
          <w:sz w:val="24"/>
        </w:rPr>
        <w:tab/>
      </w:r>
      <w:r w:rsidR="00727FB6" w:rsidRPr="00CA2DE8">
        <w:rPr>
          <w:sz w:val="24"/>
        </w:rPr>
        <w:tab/>
      </w:r>
      <w:r w:rsidR="00B64F71" w:rsidRPr="00CA2DE8">
        <w:rPr>
          <w:sz w:val="24"/>
        </w:rPr>
        <w:t>DownTown</w:t>
      </w:r>
      <w:r w:rsidRPr="00CA2DE8">
        <w:rPr>
          <w:sz w:val="24"/>
        </w:rPr>
        <w:tab/>
        <w:t xml:space="preserve"> </w:t>
      </w:r>
      <w:r w:rsidR="008D01EC" w:rsidRPr="00CA2DE8">
        <w:rPr>
          <w:sz w:val="24"/>
        </w:rPr>
        <w:t xml:space="preserve">         </w:t>
      </w:r>
      <w:r w:rsidR="00904896" w:rsidRPr="00CA2DE8">
        <w:rPr>
          <w:sz w:val="24"/>
        </w:rPr>
        <w:t xml:space="preserve"> </w:t>
      </w:r>
      <w:r w:rsidR="00B64F71" w:rsidRPr="00CA2DE8">
        <w:rPr>
          <w:sz w:val="24"/>
        </w:rPr>
        <w:t>89,724</w:t>
      </w:r>
    </w:p>
    <w:p w:rsidR="00BF34E3" w:rsidRPr="00CA2DE8" w:rsidRDefault="00BF34E3" w:rsidP="00B64F71">
      <w:pPr>
        <w:tabs>
          <w:tab w:val="left" w:pos="1080"/>
          <w:tab w:val="left" w:pos="1620"/>
          <w:tab w:val="left" w:pos="5220"/>
          <w:tab w:val="left" w:pos="5580"/>
          <w:tab w:val="left" w:pos="5670"/>
          <w:tab w:val="left" w:pos="5760"/>
          <w:tab w:val="left" w:pos="5850"/>
          <w:tab w:val="left" w:pos="5940"/>
          <w:tab w:val="left" w:pos="6030"/>
          <w:tab w:val="left" w:pos="6120"/>
        </w:tabs>
        <w:rPr>
          <w:sz w:val="24"/>
          <w:u w:val="single"/>
        </w:rPr>
      </w:pPr>
      <w:r w:rsidRPr="00CA2DE8">
        <w:rPr>
          <w:sz w:val="24"/>
        </w:rPr>
        <w:tab/>
      </w:r>
      <w:r w:rsidR="00727FB6" w:rsidRPr="00CA2DE8">
        <w:rPr>
          <w:sz w:val="24"/>
        </w:rPr>
        <w:tab/>
      </w:r>
      <w:r w:rsidRPr="00CA2DE8">
        <w:rPr>
          <w:sz w:val="24"/>
        </w:rPr>
        <w:t>Library</w:t>
      </w:r>
      <w:r w:rsidR="00EC7E10" w:rsidRPr="00CA2DE8">
        <w:rPr>
          <w:sz w:val="24"/>
        </w:rPr>
        <w:tab/>
        <w:t xml:space="preserve">    </w:t>
      </w:r>
      <w:r w:rsidR="008E1D49" w:rsidRPr="00CA2DE8">
        <w:rPr>
          <w:sz w:val="24"/>
        </w:rPr>
        <w:tab/>
      </w:r>
      <w:r w:rsidR="003F0866" w:rsidRPr="00CA2DE8">
        <w:rPr>
          <w:sz w:val="24"/>
        </w:rPr>
        <w:t xml:space="preserve">   </w:t>
      </w:r>
      <w:r w:rsidR="003F0866" w:rsidRPr="00CA2DE8">
        <w:rPr>
          <w:sz w:val="24"/>
          <w:u w:val="single"/>
        </w:rPr>
        <w:t>2</w:t>
      </w:r>
      <w:r w:rsidR="00B64F71" w:rsidRPr="00CA2DE8">
        <w:rPr>
          <w:sz w:val="24"/>
          <w:u w:val="single"/>
        </w:rPr>
        <w:t>40</w:t>
      </w:r>
      <w:r w:rsidRPr="00CA2DE8">
        <w:rPr>
          <w:sz w:val="24"/>
          <w:u w:val="single"/>
        </w:rPr>
        <w:t>,</w:t>
      </w:r>
      <w:r w:rsidR="00B64F71" w:rsidRPr="00CA2DE8">
        <w:rPr>
          <w:sz w:val="24"/>
          <w:u w:val="single"/>
        </w:rPr>
        <w:t>135</w:t>
      </w:r>
    </w:p>
    <w:p w:rsidR="001357EC" w:rsidRPr="00CA2DE8" w:rsidRDefault="00727FB6" w:rsidP="00727FB6">
      <w:pPr>
        <w:pStyle w:val="BodyText"/>
        <w:tabs>
          <w:tab w:val="clear" w:pos="709"/>
          <w:tab w:val="clear" w:pos="5850"/>
          <w:tab w:val="left" w:pos="720"/>
          <w:tab w:val="left" w:pos="1080"/>
          <w:tab w:val="left" w:pos="1620"/>
          <w:tab w:val="left" w:pos="2160"/>
          <w:tab w:val="left" w:pos="5580"/>
          <w:tab w:val="right" w:pos="6120"/>
        </w:tabs>
      </w:pPr>
      <w:r w:rsidRPr="00CA2DE8">
        <w:tab/>
      </w:r>
      <w:r w:rsidRPr="00CA2DE8">
        <w:tab/>
      </w:r>
    </w:p>
    <w:p w:rsidR="00322694" w:rsidRPr="00CA2DE8" w:rsidRDefault="00CA2DE8" w:rsidP="00322694">
      <w:pPr>
        <w:pStyle w:val="BodyText"/>
        <w:tabs>
          <w:tab w:val="clear" w:pos="709"/>
          <w:tab w:val="clear" w:pos="5850"/>
          <w:tab w:val="left" w:pos="720"/>
          <w:tab w:val="left" w:pos="1080"/>
          <w:tab w:val="left" w:pos="1620"/>
          <w:tab w:val="left" w:pos="2160"/>
          <w:tab w:val="left" w:pos="5580"/>
          <w:tab w:val="right" w:pos="6120"/>
          <w:tab w:val="left" w:pos="6480"/>
        </w:tabs>
        <w:rPr>
          <w:b/>
          <w:i/>
        </w:rPr>
      </w:pPr>
      <w:r>
        <w:rPr>
          <w:b/>
        </w:rPr>
        <w:tab/>
      </w:r>
      <w:r>
        <w:rPr>
          <w:b/>
        </w:rPr>
        <w:tab/>
      </w:r>
      <w:r>
        <w:rPr>
          <w:b/>
        </w:rPr>
        <w:tab/>
      </w:r>
      <w:r>
        <w:rPr>
          <w:b/>
        </w:rPr>
        <w:tab/>
        <w:t xml:space="preserve">                                </w:t>
      </w:r>
      <w:r w:rsidR="00322694" w:rsidRPr="00CA2DE8">
        <w:rPr>
          <w:b/>
          <w:u w:val="single"/>
        </w:rPr>
        <w:t>TOTAL</w:t>
      </w:r>
      <w:r w:rsidR="00802128" w:rsidRPr="00CA2DE8">
        <w:rPr>
          <w:b/>
          <w:u w:val="single"/>
        </w:rPr>
        <w:t>:</w:t>
      </w:r>
      <w:r w:rsidR="00802128" w:rsidRPr="00CA2DE8">
        <w:rPr>
          <w:b/>
        </w:rPr>
        <w:t xml:space="preserve">      </w:t>
      </w:r>
      <w:r w:rsidR="00322694" w:rsidRPr="00CA2DE8">
        <w:rPr>
          <w:b/>
        </w:rPr>
        <w:t>$</w:t>
      </w:r>
      <w:r w:rsidRPr="00CA2DE8">
        <w:rPr>
          <w:b/>
        </w:rPr>
        <w:t xml:space="preserve">  </w:t>
      </w:r>
      <w:r w:rsidR="00017149" w:rsidRPr="00CA2DE8">
        <w:rPr>
          <w:b/>
        </w:rPr>
        <w:t>1,</w:t>
      </w:r>
      <w:r w:rsidRPr="00CA2DE8">
        <w:rPr>
          <w:b/>
        </w:rPr>
        <w:t>534</w:t>
      </w:r>
      <w:r w:rsidR="00D52DC4" w:rsidRPr="00CA2DE8">
        <w:rPr>
          <w:b/>
        </w:rPr>
        <w:t>,</w:t>
      </w:r>
      <w:r w:rsidRPr="00CA2DE8">
        <w:rPr>
          <w:b/>
        </w:rPr>
        <w:t>569</w:t>
      </w:r>
    </w:p>
    <w:p w:rsidR="00727FB6" w:rsidRPr="00AF2889" w:rsidRDefault="00727FB6" w:rsidP="00727FB6">
      <w:pPr>
        <w:pStyle w:val="BodyText"/>
        <w:tabs>
          <w:tab w:val="clear" w:pos="709"/>
          <w:tab w:val="clear" w:pos="5850"/>
          <w:tab w:val="left" w:pos="720"/>
          <w:tab w:val="left" w:pos="1080"/>
          <w:tab w:val="left" w:pos="1620"/>
          <w:tab w:val="left" w:pos="2160"/>
          <w:tab w:val="right" w:pos="6120"/>
        </w:tabs>
      </w:pPr>
    </w:p>
    <w:p w:rsidR="004F54F0" w:rsidRPr="00AF2889" w:rsidRDefault="004F54F0">
      <w:pPr>
        <w:pStyle w:val="BodyText"/>
        <w:tabs>
          <w:tab w:val="clear" w:pos="709"/>
          <w:tab w:val="clear" w:pos="5850"/>
          <w:tab w:val="left" w:pos="720"/>
          <w:tab w:val="left" w:pos="2160"/>
          <w:tab w:val="right" w:pos="6120"/>
        </w:tabs>
      </w:pPr>
      <w:r w:rsidRPr="00AF2889">
        <w:t xml:space="preserve">Starting in FY 2021/2022, any fund that transfers funds to the General Fund but also receives a transfer of support from the General Fund will have those transfers netted so the average reader and taxpayer can easily understand the flow of funds throughout the Village.  </w:t>
      </w:r>
    </w:p>
    <w:p w:rsidR="004F54F0" w:rsidRPr="00AF2889" w:rsidRDefault="004F54F0">
      <w:pPr>
        <w:pStyle w:val="BodyText"/>
        <w:tabs>
          <w:tab w:val="clear" w:pos="709"/>
          <w:tab w:val="clear" w:pos="5850"/>
          <w:tab w:val="left" w:pos="720"/>
          <w:tab w:val="left" w:pos="2160"/>
          <w:tab w:val="right" w:pos="6120"/>
        </w:tabs>
      </w:pPr>
    </w:p>
    <w:p w:rsidR="00BF34E3" w:rsidRPr="002336E9" w:rsidRDefault="00BF34E3">
      <w:pPr>
        <w:pStyle w:val="BodyText"/>
        <w:tabs>
          <w:tab w:val="clear" w:pos="709"/>
          <w:tab w:val="clear" w:pos="5850"/>
          <w:tab w:val="left" w:pos="720"/>
          <w:tab w:val="left" w:pos="2160"/>
          <w:tab w:val="right" w:pos="6120"/>
        </w:tabs>
      </w:pPr>
      <w:r w:rsidRPr="002336E9">
        <w:t xml:space="preserve">If the indirect costs were not charged to the various funds and, instead, had to be supported by the General Fund, the total dollars of indirect costs would require </w:t>
      </w:r>
      <w:r w:rsidR="006230CD" w:rsidRPr="002336E9">
        <w:t>a</w:t>
      </w:r>
      <w:r w:rsidR="00F9594B" w:rsidRPr="002336E9">
        <w:t>n</w:t>
      </w:r>
      <w:r w:rsidRPr="002336E9">
        <w:t xml:space="preserve"> </w:t>
      </w:r>
      <w:r w:rsidR="00F9594B" w:rsidRPr="002336E9">
        <w:t>8</w:t>
      </w:r>
      <w:r w:rsidR="002336E9" w:rsidRPr="002336E9">
        <w:t>.2</w:t>
      </w:r>
      <w:r w:rsidRPr="002336E9">
        <w:t>% tax levy increase.</w:t>
      </w:r>
      <w:r w:rsidR="00E14292" w:rsidRPr="002336E9">
        <w:t xml:space="preserve">  </w:t>
      </w:r>
    </w:p>
    <w:p w:rsidR="00BF34E3" w:rsidRDefault="00BF34E3">
      <w:pPr>
        <w:tabs>
          <w:tab w:val="left" w:pos="2160"/>
          <w:tab w:val="right" w:pos="6120"/>
        </w:tabs>
        <w:rPr>
          <w:sz w:val="24"/>
          <w:szCs w:val="24"/>
        </w:rPr>
      </w:pPr>
    </w:p>
    <w:p w:rsidR="00CA2DE8" w:rsidRPr="00CA2DE8" w:rsidRDefault="00CA2DE8">
      <w:pPr>
        <w:tabs>
          <w:tab w:val="left" w:pos="2160"/>
          <w:tab w:val="right" w:pos="6120"/>
        </w:tabs>
        <w:rPr>
          <w:sz w:val="24"/>
          <w:szCs w:val="24"/>
        </w:rPr>
      </w:pPr>
      <w:r>
        <w:rPr>
          <w:sz w:val="24"/>
          <w:szCs w:val="24"/>
        </w:rPr>
        <w:t>There is a $400,000 transfer to the General Fund from the Capital Projects Fund in FY 22/23 to help pay for the road work that is part of the large water main and water tower project.  This reduces the amount of Unassigned Fund Balance that will be used in the General Fund in FY 22/23.</w:t>
      </w:r>
    </w:p>
    <w:p w:rsidR="00CA2DE8" w:rsidRPr="00CA2DE8" w:rsidRDefault="00CA2DE8">
      <w:pPr>
        <w:tabs>
          <w:tab w:val="left" w:pos="2160"/>
          <w:tab w:val="right" w:pos="6120"/>
        </w:tabs>
        <w:rPr>
          <w:sz w:val="24"/>
          <w:szCs w:val="24"/>
        </w:rPr>
      </w:pPr>
    </w:p>
    <w:p w:rsidR="00BF34E3" w:rsidRPr="00036936" w:rsidRDefault="00BF34E3">
      <w:pPr>
        <w:rPr>
          <w:b/>
          <w:sz w:val="24"/>
        </w:rPr>
      </w:pPr>
      <w:r w:rsidRPr="00CA2DE8">
        <w:rPr>
          <w:b/>
          <w:sz w:val="24"/>
          <w:szCs w:val="24"/>
          <w:u w:val="single"/>
        </w:rPr>
        <w:t>L</w:t>
      </w:r>
      <w:r w:rsidRPr="00036936">
        <w:rPr>
          <w:b/>
          <w:sz w:val="24"/>
          <w:u w:val="single"/>
        </w:rPr>
        <w:t>icenses</w:t>
      </w:r>
    </w:p>
    <w:p w:rsidR="00BF34E3" w:rsidRPr="00036936" w:rsidRDefault="00BF34E3">
      <w:pPr>
        <w:rPr>
          <w:b/>
          <w:sz w:val="24"/>
        </w:rPr>
      </w:pPr>
    </w:p>
    <w:p w:rsidR="00EC7E10" w:rsidRPr="007E7763" w:rsidRDefault="00BF34E3">
      <w:pPr>
        <w:rPr>
          <w:sz w:val="24"/>
          <w:szCs w:val="24"/>
        </w:rPr>
      </w:pPr>
      <w:r w:rsidRPr="00036936">
        <w:rPr>
          <w:sz w:val="24"/>
        </w:rPr>
        <w:t>The major sources of license revenue are vehicle sticker</w:t>
      </w:r>
      <w:r w:rsidR="00307E3A" w:rsidRPr="00036936">
        <w:rPr>
          <w:sz w:val="24"/>
        </w:rPr>
        <w:t>s,</w:t>
      </w:r>
      <w:r w:rsidRPr="00036936">
        <w:rPr>
          <w:sz w:val="24"/>
        </w:rPr>
        <w:t xml:space="preserve"> </w:t>
      </w:r>
      <w:r w:rsidR="00307E3A" w:rsidRPr="00036936">
        <w:rPr>
          <w:sz w:val="24"/>
        </w:rPr>
        <w:t>crime free housing</w:t>
      </w:r>
      <w:r w:rsidRPr="00036936">
        <w:rPr>
          <w:sz w:val="24"/>
        </w:rPr>
        <w:t xml:space="preserve"> and business</w:t>
      </w:r>
      <w:r w:rsidR="00D95B46" w:rsidRPr="00036936">
        <w:rPr>
          <w:sz w:val="24"/>
        </w:rPr>
        <w:t xml:space="preserve"> &amp; contractor</w:t>
      </w:r>
      <w:r w:rsidRPr="00036936">
        <w:rPr>
          <w:sz w:val="24"/>
        </w:rPr>
        <w:t xml:space="preserve"> licenses</w:t>
      </w:r>
      <w:r w:rsidR="00B361E2" w:rsidRPr="00036936">
        <w:rPr>
          <w:sz w:val="24"/>
        </w:rPr>
        <w:t>.</w:t>
      </w:r>
      <w:r w:rsidR="00C71B3A" w:rsidRPr="00036936">
        <w:rPr>
          <w:sz w:val="24"/>
        </w:rPr>
        <w:t xml:space="preserve">  Crime free housing licenses are a new</w:t>
      </w:r>
      <w:r w:rsidR="00E33CBF" w:rsidRPr="00036936">
        <w:rPr>
          <w:sz w:val="24"/>
        </w:rPr>
        <w:t>er</w:t>
      </w:r>
      <w:r w:rsidR="00B361E2" w:rsidRPr="00036936">
        <w:rPr>
          <w:sz w:val="24"/>
        </w:rPr>
        <w:t xml:space="preserve"> </w:t>
      </w:r>
      <w:r w:rsidR="00C71B3A" w:rsidRPr="00036936">
        <w:rPr>
          <w:sz w:val="24"/>
        </w:rPr>
        <w:t>addition to this category</w:t>
      </w:r>
      <w:r w:rsidR="00FE566E" w:rsidRPr="00036936">
        <w:rPr>
          <w:sz w:val="24"/>
        </w:rPr>
        <w:t xml:space="preserve"> and in 201</w:t>
      </w:r>
      <w:r w:rsidR="006B3759" w:rsidRPr="00036936">
        <w:rPr>
          <w:sz w:val="24"/>
        </w:rPr>
        <w:t>6</w:t>
      </w:r>
      <w:r w:rsidR="00FE566E" w:rsidRPr="00036936">
        <w:rPr>
          <w:sz w:val="24"/>
        </w:rPr>
        <w:t xml:space="preserve"> a new rate structure was established that generate</w:t>
      </w:r>
      <w:r w:rsidR="00D537A6" w:rsidRPr="00036936">
        <w:rPr>
          <w:sz w:val="24"/>
        </w:rPr>
        <w:t>d</w:t>
      </w:r>
      <w:r w:rsidR="00FE566E" w:rsidRPr="00036936">
        <w:rPr>
          <w:sz w:val="24"/>
        </w:rPr>
        <w:t xml:space="preserve"> sufficient dollars to transfer $70,000 to the Housing Authority</w:t>
      </w:r>
      <w:r w:rsidR="005C2C06" w:rsidRPr="00036936">
        <w:rPr>
          <w:sz w:val="24"/>
        </w:rPr>
        <w:t>.  This</w:t>
      </w:r>
      <w:r w:rsidR="00FE566E" w:rsidRPr="00036936">
        <w:rPr>
          <w:sz w:val="24"/>
        </w:rPr>
        <w:t xml:space="preserve"> allow</w:t>
      </w:r>
      <w:r w:rsidR="00D537A6" w:rsidRPr="00036936">
        <w:rPr>
          <w:sz w:val="24"/>
        </w:rPr>
        <w:t>ed</w:t>
      </w:r>
      <w:r w:rsidR="00FE566E" w:rsidRPr="00036936">
        <w:rPr>
          <w:sz w:val="24"/>
        </w:rPr>
        <w:t xml:space="preserve"> the Authority </w:t>
      </w:r>
      <w:r w:rsidR="005C2C06" w:rsidRPr="00036936">
        <w:rPr>
          <w:sz w:val="24"/>
        </w:rPr>
        <w:t>additional staffing</w:t>
      </w:r>
      <w:r w:rsidR="00FE566E" w:rsidRPr="00036936">
        <w:rPr>
          <w:sz w:val="24"/>
        </w:rPr>
        <w:t xml:space="preserve"> to assist with the ever increasing number of portable certificates.  </w:t>
      </w:r>
      <w:r w:rsidR="00055AAC" w:rsidRPr="007E7763">
        <w:rPr>
          <w:sz w:val="24"/>
        </w:rPr>
        <w:t>This transfer to the Housing Authority has since been decreased to $30,000 as it was netted against the Housing Authority transfer to the General Fund amount of $40,000</w:t>
      </w:r>
      <w:r w:rsidR="007E7763">
        <w:rPr>
          <w:sz w:val="24"/>
        </w:rPr>
        <w:t xml:space="preserve"> and will only be made if needed</w:t>
      </w:r>
      <w:r w:rsidR="00055AAC" w:rsidRPr="007E7763">
        <w:rPr>
          <w:sz w:val="24"/>
        </w:rPr>
        <w:t xml:space="preserve">.  </w:t>
      </w:r>
      <w:r w:rsidR="00373B21" w:rsidRPr="007E7763">
        <w:rPr>
          <w:sz w:val="24"/>
        </w:rPr>
        <w:t>V</w:t>
      </w:r>
      <w:r w:rsidRPr="007E7763">
        <w:rPr>
          <w:sz w:val="24"/>
        </w:rPr>
        <w:t xml:space="preserve">ehicle sticker rates were increased </w:t>
      </w:r>
      <w:r w:rsidR="00373B21" w:rsidRPr="007E7763">
        <w:rPr>
          <w:sz w:val="24"/>
        </w:rPr>
        <w:t>in 2012</w:t>
      </w:r>
      <w:r w:rsidR="00C71B3A" w:rsidRPr="007E7763">
        <w:rPr>
          <w:sz w:val="24"/>
        </w:rPr>
        <w:t xml:space="preserve"> to</w:t>
      </w:r>
      <w:r w:rsidR="00373B21" w:rsidRPr="007E7763">
        <w:rPr>
          <w:sz w:val="24"/>
        </w:rPr>
        <w:t xml:space="preserve"> </w:t>
      </w:r>
      <w:r w:rsidRPr="007E7763">
        <w:rPr>
          <w:sz w:val="24"/>
        </w:rPr>
        <w:t>$</w:t>
      </w:r>
      <w:r w:rsidR="00C71B3A" w:rsidRPr="007E7763">
        <w:rPr>
          <w:sz w:val="24"/>
        </w:rPr>
        <w:t>50</w:t>
      </w:r>
      <w:r w:rsidR="00E22EF6" w:rsidRPr="007E7763">
        <w:rPr>
          <w:sz w:val="24"/>
        </w:rPr>
        <w:t xml:space="preserve"> </w:t>
      </w:r>
      <w:r w:rsidRPr="007E7763">
        <w:rPr>
          <w:sz w:val="24"/>
        </w:rPr>
        <w:t xml:space="preserve">for the basic sticker while the stickers sold to senior and disabled individuals increased </w:t>
      </w:r>
      <w:r w:rsidR="00C71B3A" w:rsidRPr="007E7763">
        <w:rPr>
          <w:sz w:val="24"/>
        </w:rPr>
        <w:t xml:space="preserve">to </w:t>
      </w:r>
      <w:r w:rsidRPr="007E7763">
        <w:rPr>
          <w:sz w:val="24"/>
        </w:rPr>
        <w:t>$</w:t>
      </w:r>
      <w:r w:rsidR="00C71B3A" w:rsidRPr="007E7763">
        <w:rPr>
          <w:sz w:val="24"/>
        </w:rPr>
        <w:t>2</w:t>
      </w:r>
      <w:r w:rsidRPr="007E7763">
        <w:rPr>
          <w:sz w:val="24"/>
        </w:rPr>
        <w:t>5.  Vehicle Sticker revenue is expected to be as follows:</w:t>
      </w:r>
      <w:r w:rsidR="0097635C" w:rsidRPr="007E7763">
        <w:rPr>
          <w:sz w:val="24"/>
          <w:szCs w:val="24"/>
        </w:rPr>
        <w:br/>
      </w:r>
    </w:p>
    <w:tbl>
      <w:tblPr>
        <w:tblW w:w="0" w:type="auto"/>
        <w:jc w:val="center"/>
        <w:tblBorders>
          <w:insideH w:val="single" w:sz="6" w:space="0" w:color="000000"/>
          <w:insideV w:val="single" w:sz="6" w:space="0" w:color="000000"/>
        </w:tblBorders>
        <w:shd w:val="clear" w:color="auto" w:fill="FFFFFF"/>
        <w:tblLook w:val="0000" w:firstRow="0" w:lastRow="0" w:firstColumn="0" w:lastColumn="0" w:noHBand="0" w:noVBand="0"/>
      </w:tblPr>
      <w:tblGrid>
        <w:gridCol w:w="3318"/>
        <w:gridCol w:w="1656"/>
        <w:gridCol w:w="1645"/>
        <w:gridCol w:w="1661"/>
      </w:tblGrid>
      <w:tr w:rsidR="00302D73" w:rsidRPr="00AF2889" w:rsidTr="00B62D40">
        <w:trPr>
          <w:jc w:val="center"/>
        </w:trPr>
        <w:tc>
          <w:tcPr>
            <w:tcW w:w="8280" w:type="dxa"/>
            <w:gridSpan w:val="4"/>
            <w:tcBorders>
              <w:bottom w:val="single" w:sz="4" w:space="0" w:color="auto"/>
            </w:tcBorders>
            <w:shd w:val="clear" w:color="auto" w:fill="FFFFFF"/>
          </w:tcPr>
          <w:p w:rsidR="00302D73" w:rsidRPr="00AF2889" w:rsidRDefault="00302D73">
            <w:pPr>
              <w:pStyle w:val="Heading7"/>
            </w:pPr>
            <w:r w:rsidRPr="00AF2889">
              <w:lastRenderedPageBreak/>
              <w:t>VEHICLE STICKER REVENUE</w:t>
            </w:r>
          </w:p>
        </w:tc>
      </w:tr>
      <w:tr w:rsidR="00BF34E3" w:rsidRPr="00AF2889" w:rsidTr="00B62D40">
        <w:trPr>
          <w:jc w:val="center"/>
        </w:trPr>
        <w:tc>
          <w:tcPr>
            <w:tcW w:w="3318" w:type="dxa"/>
            <w:tcBorders>
              <w:top w:val="single" w:sz="4" w:space="0" w:color="auto"/>
              <w:bottom w:val="single" w:sz="4" w:space="0" w:color="auto"/>
            </w:tcBorders>
            <w:shd w:val="clear" w:color="auto" w:fill="FFFFFF"/>
          </w:tcPr>
          <w:p w:rsidR="00BF34E3" w:rsidRPr="00AF2889" w:rsidRDefault="00BF34E3">
            <w:pPr>
              <w:pStyle w:val="Heading7"/>
            </w:pPr>
          </w:p>
        </w:tc>
        <w:tc>
          <w:tcPr>
            <w:tcW w:w="1656" w:type="dxa"/>
            <w:tcBorders>
              <w:top w:val="single" w:sz="4" w:space="0" w:color="auto"/>
              <w:bottom w:val="single" w:sz="4" w:space="0" w:color="auto"/>
            </w:tcBorders>
            <w:shd w:val="clear" w:color="auto" w:fill="FFFFFF"/>
          </w:tcPr>
          <w:p w:rsidR="00BF34E3" w:rsidRPr="00AF2889" w:rsidRDefault="00BF34E3">
            <w:pPr>
              <w:pStyle w:val="Heading7"/>
            </w:pPr>
            <w:r w:rsidRPr="00AF2889">
              <w:t>Stickers Sold</w:t>
            </w:r>
          </w:p>
        </w:tc>
        <w:tc>
          <w:tcPr>
            <w:tcW w:w="1645" w:type="dxa"/>
            <w:tcBorders>
              <w:top w:val="single" w:sz="4" w:space="0" w:color="auto"/>
              <w:bottom w:val="single" w:sz="4" w:space="0" w:color="auto"/>
            </w:tcBorders>
            <w:shd w:val="clear" w:color="auto" w:fill="FFFFFF"/>
          </w:tcPr>
          <w:p w:rsidR="00BF34E3" w:rsidRPr="00AF2889" w:rsidRDefault="00BF34E3">
            <w:pPr>
              <w:pStyle w:val="Heading7"/>
            </w:pPr>
            <w:r w:rsidRPr="00AF2889">
              <w:t>Rate</w:t>
            </w:r>
          </w:p>
        </w:tc>
        <w:tc>
          <w:tcPr>
            <w:tcW w:w="1661" w:type="dxa"/>
            <w:tcBorders>
              <w:top w:val="single" w:sz="4" w:space="0" w:color="auto"/>
              <w:bottom w:val="single" w:sz="4" w:space="0" w:color="auto"/>
            </w:tcBorders>
            <w:shd w:val="clear" w:color="auto" w:fill="FFFFFF"/>
          </w:tcPr>
          <w:p w:rsidR="00BF34E3" w:rsidRPr="00AF2889" w:rsidRDefault="00BF34E3">
            <w:pPr>
              <w:pStyle w:val="Heading7"/>
            </w:pPr>
            <w:r w:rsidRPr="00AF2889">
              <w:t>Total</w:t>
            </w:r>
          </w:p>
        </w:tc>
      </w:tr>
      <w:tr w:rsidR="00BF34E3" w:rsidRPr="00AF2889" w:rsidTr="00B62D40">
        <w:trPr>
          <w:jc w:val="center"/>
        </w:trPr>
        <w:tc>
          <w:tcPr>
            <w:tcW w:w="3318" w:type="dxa"/>
            <w:tcBorders>
              <w:top w:val="single" w:sz="4" w:space="0" w:color="auto"/>
              <w:bottom w:val="single" w:sz="6" w:space="0" w:color="000000"/>
            </w:tcBorders>
            <w:shd w:val="clear" w:color="auto" w:fill="FFFFFF"/>
          </w:tcPr>
          <w:p w:rsidR="00BF34E3" w:rsidRPr="00AF2889" w:rsidRDefault="00BF34E3" w:rsidP="00422832">
            <w:pPr>
              <w:pStyle w:val="Heading7"/>
              <w:jc w:val="left"/>
            </w:pPr>
            <w:r w:rsidRPr="00AF2889">
              <w:t>Base Average</w:t>
            </w:r>
          </w:p>
        </w:tc>
        <w:tc>
          <w:tcPr>
            <w:tcW w:w="1656" w:type="dxa"/>
            <w:tcBorders>
              <w:top w:val="single" w:sz="4" w:space="0" w:color="auto"/>
              <w:bottom w:val="single" w:sz="6" w:space="0" w:color="000000"/>
            </w:tcBorders>
            <w:shd w:val="clear" w:color="auto" w:fill="FFFFFF"/>
          </w:tcPr>
          <w:p w:rsidR="00BF34E3" w:rsidRPr="00AF2889" w:rsidRDefault="00C71B3A" w:rsidP="00307E3A">
            <w:pPr>
              <w:pStyle w:val="Heading7"/>
            </w:pPr>
            <w:r w:rsidRPr="00AF2889">
              <w:t xml:space="preserve">  </w:t>
            </w:r>
            <w:r w:rsidR="00307E3A" w:rsidRPr="00AF2889">
              <w:t>7</w:t>
            </w:r>
            <w:r w:rsidR="001020CE" w:rsidRPr="00AF2889">
              <w:t>,</w:t>
            </w:r>
            <w:r w:rsidR="00307E3A" w:rsidRPr="00AF2889">
              <w:t>65</w:t>
            </w:r>
            <w:r w:rsidR="00134BEF" w:rsidRPr="00AF2889">
              <w:t>0</w:t>
            </w:r>
          </w:p>
        </w:tc>
        <w:tc>
          <w:tcPr>
            <w:tcW w:w="1645" w:type="dxa"/>
            <w:tcBorders>
              <w:top w:val="single" w:sz="4" w:space="0" w:color="auto"/>
              <w:bottom w:val="single" w:sz="6" w:space="0" w:color="000000"/>
            </w:tcBorders>
            <w:shd w:val="clear" w:color="auto" w:fill="FFFFFF"/>
          </w:tcPr>
          <w:p w:rsidR="00BF34E3" w:rsidRPr="00AF2889" w:rsidRDefault="00BF34E3" w:rsidP="00373B21">
            <w:pPr>
              <w:pStyle w:val="Heading7"/>
            </w:pPr>
            <w:r w:rsidRPr="00AF2889">
              <w:t>$</w:t>
            </w:r>
            <w:r w:rsidR="00373B21" w:rsidRPr="00AF2889">
              <w:t>5</w:t>
            </w:r>
            <w:r w:rsidRPr="00AF2889">
              <w:t>0.00</w:t>
            </w:r>
          </w:p>
        </w:tc>
        <w:tc>
          <w:tcPr>
            <w:tcW w:w="1661" w:type="dxa"/>
            <w:tcBorders>
              <w:top w:val="single" w:sz="4" w:space="0" w:color="auto"/>
              <w:bottom w:val="single" w:sz="6" w:space="0" w:color="000000"/>
            </w:tcBorders>
            <w:shd w:val="clear" w:color="auto" w:fill="FFFFFF"/>
          </w:tcPr>
          <w:p w:rsidR="00BF34E3" w:rsidRPr="00AF2889" w:rsidRDefault="00CF4189" w:rsidP="00307E3A">
            <w:pPr>
              <w:pStyle w:val="Heading7"/>
            </w:pPr>
            <w:r w:rsidRPr="00AF2889">
              <w:t>$</w:t>
            </w:r>
            <w:r w:rsidR="00307E3A" w:rsidRPr="00AF2889">
              <w:t>382,</w:t>
            </w:r>
            <w:r w:rsidR="00134BEF" w:rsidRPr="00AF2889">
              <w:t>50</w:t>
            </w:r>
            <w:r w:rsidR="003338AF" w:rsidRPr="00AF2889">
              <w:t>0</w:t>
            </w:r>
          </w:p>
        </w:tc>
      </w:tr>
      <w:tr w:rsidR="00BF34E3" w:rsidRPr="00AF2889" w:rsidTr="007D578B">
        <w:trPr>
          <w:jc w:val="center"/>
        </w:trPr>
        <w:tc>
          <w:tcPr>
            <w:tcW w:w="3318" w:type="dxa"/>
            <w:tcBorders>
              <w:top w:val="single" w:sz="6" w:space="0" w:color="000000"/>
              <w:bottom w:val="single" w:sz="4" w:space="0" w:color="auto"/>
            </w:tcBorders>
            <w:shd w:val="clear" w:color="auto" w:fill="FFFFFF"/>
          </w:tcPr>
          <w:p w:rsidR="00BF34E3" w:rsidRPr="00AF2889" w:rsidRDefault="00BF34E3" w:rsidP="00422832">
            <w:pPr>
              <w:pStyle w:val="Heading7"/>
              <w:jc w:val="left"/>
            </w:pPr>
            <w:r w:rsidRPr="00AF2889">
              <w:t>Seniors and Disabled</w:t>
            </w:r>
          </w:p>
        </w:tc>
        <w:tc>
          <w:tcPr>
            <w:tcW w:w="1656" w:type="dxa"/>
            <w:tcBorders>
              <w:top w:val="single" w:sz="6" w:space="0" w:color="000000"/>
              <w:bottom w:val="single" w:sz="4" w:space="0" w:color="auto"/>
            </w:tcBorders>
            <w:shd w:val="clear" w:color="auto" w:fill="FFFFFF"/>
          </w:tcPr>
          <w:p w:rsidR="00BF34E3" w:rsidRPr="00AF2889" w:rsidRDefault="00E14292" w:rsidP="00307E3A">
            <w:pPr>
              <w:pStyle w:val="Heading7"/>
            </w:pPr>
            <w:r w:rsidRPr="00AF2889">
              <w:t xml:space="preserve">  </w:t>
            </w:r>
            <w:r w:rsidR="00134BEF" w:rsidRPr="00AF2889">
              <w:t>1</w:t>
            </w:r>
            <w:r w:rsidRPr="00AF2889">
              <w:t>,</w:t>
            </w:r>
            <w:r w:rsidR="00307E3A" w:rsidRPr="00AF2889">
              <w:t>70</w:t>
            </w:r>
            <w:r w:rsidR="00134BEF" w:rsidRPr="00AF2889">
              <w:t>0</w:t>
            </w:r>
          </w:p>
        </w:tc>
        <w:tc>
          <w:tcPr>
            <w:tcW w:w="1645" w:type="dxa"/>
            <w:tcBorders>
              <w:top w:val="single" w:sz="6" w:space="0" w:color="000000"/>
              <w:bottom w:val="single" w:sz="4" w:space="0" w:color="auto"/>
            </w:tcBorders>
            <w:shd w:val="clear" w:color="auto" w:fill="FFFFFF"/>
          </w:tcPr>
          <w:p w:rsidR="00BF34E3" w:rsidRPr="00AF2889" w:rsidRDefault="00BF34E3" w:rsidP="00373B21">
            <w:pPr>
              <w:pStyle w:val="Heading7"/>
            </w:pPr>
            <w:r w:rsidRPr="00AF2889">
              <w:t xml:space="preserve">  2</w:t>
            </w:r>
            <w:r w:rsidR="00373B21" w:rsidRPr="00AF2889">
              <w:t>5</w:t>
            </w:r>
            <w:r w:rsidRPr="00AF2889">
              <w:t>.00</w:t>
            </w:r>
          </w:p>
        </w:tc>
        <w:tc>
          <w:tcPr>
            <w:tcW w:w="1661" w:type="dxa"/>
            <w:tcBorders>
              <w:top w:val="single" w:sz="6" w:space="0" w:color="000000"/>
              <w:bottom w:val="single" w:sz="4" w:space="0" w:color="auto"/>
            </w:tcBorders>
            <w:shd w:val="clear" w:color="auto" w:fill="FFFFFF"/>
          </w:tcPr>
          <w:p w:rsidR="00BF34E3" w:rsidRPr="00AF2889" w:rsidRDefault="00CF4189" w:rsidP="00307E3A">
            <w:pPr>
              <w:pStyle w:val="Heading7"/>
            </w:pPr>
            <w:r w:rsidRPr="00AF2889">
              <w:t xml:space="preserve">    </w:t>
            </w:r>
            <w:r w:rsidR="00134BEF" w:rsidRPr="00AF2889">
              <w:t>4</w:t>
            </w:r>
            <w:r w:rsidR="00307E3A" w:rsidRPr="00AF2889">
              <w:t>2</w:t>
            </w:r>
            <w:r w:rsidRPr="00AF2889">
              <w:t>,</w:t>
            </w:r>
            <w:r w:rsidR="00134BEF" w:rsidRPr="00AF2889">
              <w:t>50</w:t>
            </w:r>
            <w:r w:rsidR="00C71B3A" w:rsidRPr="00AF2889">
              <w:t>0</w:t>
            </w:r>
          </w:p>
        </w:tc>
      </w:tr>
      <w:tr w:rsidR="00BF34E3" w:rsidRPr="00AF2889" w:rsidTr="007D578B">
        <w:trPr>
          <w:jc w:val="center"/>
        </w:trPr>
        <w:tc>
          <w:tcPr>
            <w:tcW w:w="3318" w:type="dxa"/>
            <w:tcBorders>
              <w:top w:val="single" w:sz="4" w:space="0" w:color="auto"/>
            </w:tcBorders>
            <w:shd w:val="clear" w:color="auto" w:fill="FFFFFF"/>
          </w:tcPr>
          <w:p w:rsidR="00BF34E3" w:rsidRPr="00AF2889" w:rsidRDefault="00BF34E3" w:rsidP="00422832">
            <w:pPr>
              <w:pStyle w:val="Heading7"/>
              <w:jc w:val="left"/>
            </w:pPr>
          </w:p>
        </w:tc>
        <w:tc>
          <w:tcPr>
            <w:tcW w:w="1656" w:type="dxa"/>
            <w:tcBorders>
              <w:top w:val="single" w:sz="4" w:space="0" w:color="auto"/>
            </w:tcBorders>
            <w:shd w:val="clear" w:color="auto" w:fill="FFFFFF"/>
          </w:tcPr>
          <w:p w:rsidR="00BF34E3" w:rsidRPr="00AF2889" w:rsidRDefault="00BF34E3">
            <w:pPr>
              <w:pStyle w:val="Heading7"/>
            </w:pPr>
          </w:p>
        </w:tc>
        <w:tc>
          <w:tcPr>
            <w:tcW w:w="1645" w:type="dxa"/>
            <w:tcBorders>
              <w:top w:val="single" w:sz="4" w:space="0" w:color="auto"/>
            </w:tcBorders>
            <w:shd w:val="clear" w:color="auto" w:fill="FFFFFF"/>
          </w:tcPr>
          <w:p w:rsidR="00BF34E3" w:rsidRPr="00AF2889" w:rsidRDefault="00BF34E3">
            <w:pPr>
              <w:pStyle w:val="Heading7"/>
            </w:pPr>
          </w:p>
        </w:tc>
        <w:tc>
          <w:tcPr>
            <w:tcW w:w="1661" w:type="dxa"/>
            <w:tcBorders>
              <w:top w:val="single" w:sz="4" w:space="0" w:color="auto"/>
            </w:tcBorders>
            <w:shd w:val="clear" w:color="auto" w:fill="FFFFFF"/>
          </w:tcPr>
          <w:p w:rsidR="00BF34E3" w:rsidRPr="00AF2889" w:rsidRDefault="00E14292" w:rsidP="00307E3A">
            <w:pPr>
              <w:pStyle w:val="Heading7"/>
            </w:pPr>
            <w:r w:rsidRPr="00AF2889">
              <w:fldChar w:fldCharType="begin"/>
            </w:r>
            <w:r w:rsidRPr="00AF2889">
              <w:instrText xml:space="preserve"> =SUM(ABOVE) </w:instrText>
            </w:r>
            <w:r w:rsidRPr="00AF2889">
              <w:fldChar w:fldCharType="separate"/>
            </w:r>
            <w:r w:rsidRPr="00AF2889">
              <w:rPr>
                <w:noProof/>
              </w:rPr>
              <w:t>$</w:t>
            </w:r>
            <w:r w:rsidR="00ED3814" w:rsidRPr="00AF2889">
              <w:rPr>
                <w:noProof/>
              </w:rPr>
              <w:t>4</w:t>
            </w:r>
            <w:r w:rsidR="00307E3A" w:rsidRPr="00AF2889">
              <w:rPr>
                <w:noProof/>
              </w:rPr>
              <w:t>2</w:t>
            </w:r>
            <w:r w:rsidR="00ED3814" w:rsidRPr="00AF2889">
              <w:rPr>
                <w:noProof/>
              </w:rPr>
              <w:t>5</w:t>
            </w:r>
            <w:r w:rsidRPr="00AF2889">
              <w:rPr>
                <w:noProof/>
              </w:rPr>
              <w:t>,</w:t>
            </w:r>
            <w:r w:rsidR="003338AF" w:rsidRPr="00AF2889">
              <w:rPr>
                <w:noProof/>
              </w:rPr>
              <w:t>0</w:t>
            </w:r>
            <w:r w:rsidRPr="00AF2889">
              <w:rPr>
                <w:noProof/>
              </w:rPr>
              <w:t>00</w:t>
            </w:r>
            <w:r w:rsidRPr="00AF2889">
              <w:fldChar w:fldCharType="end"/>
            </w:r>
          </w:p>
        </w:tc>
      </w:tr>
    </w:tbl>
    <w:p w:rsidR="00BF34E3" w:rsidRPr="00AF2889" w:rsidRDefault="00BF34E3">
      <w:pPr>
        <w:rPr>
          <w:sz w:val="24"/>
          <w:szCs w:val="24"/>
        </w:rPr>
      </w:pPr>
    </w:p>
    <w:p w:rsidR="00BF34E3" w:rsidRPr="007E7763" w:rsidRDefault="00BF34E3">
      <w:pPr>
        <w:rPr>
          <w:sz w:val="24"/>
        </w:rPr>
      </w:pPr>
      <w:r w:rsidRPr="007E7763">
        <w:rPr>
          <w:sz w:val="24"/>
        </w:rPr>
        <w:t xml:space="preserve">Business and liquor licenses are expected to total </w:t>
      </w:r>
      <w:r w:rsidRPr="007E7763">
        <w:rPr>
          <w:sz w:val="24"/>
          <w:shd w:val="clear" w:color="auto" w:fill="FFFFFF"/>
        </w:rPr>
        <w:t>$</w:t>
      </w:r>
      <w:r w:rsidR="00077F1B" w:rsidRPr="007E7763">
        <w:rPr>
          <w:sz w:val="24"/>
          <w:shd w:val="clear" w:color="auto" w:fill="FFFFFF"/>
        </w:rPr>
        <w:t>39,0</w:t>
      </w:r>
      <w:r w:rsidR="002E7B10" w:rsidRPr="007E7763">
        <w:rPr>
          <w:sz w:val="24"/>
          <w:shd w:val="clear" w:color="auto" w:fill="FFFFFF"/>
        </w:rPr>
        <w:t>00</w:t>
      </w:r>
      <w:r w:rsidRPr="007E7763">
        <w:rPr>
          <w:sz w:val="24"/>
          <w:shd w:val="clear" w:color="auto" w:fill="FFFFFF"/>
        </w:rPr>
        <w:t>.</w:t>
      </w:r>
      <w:r w:rsidRPr="007E7763">
        <w:rPr>
          <w:sz w:val="24"/>
        </w:rPr>
        <w:t xml:space="preserve">  </w:t>
      </w:r>
      <w:r w:rsidR="00B01F31" w:rsidRPr="007E7763">
        <w:rPr>
          <w:sz w:val="24"/>
        </w:rPr>
        <w:t>Contractors’ licenses</w:t>
      </w:r>
      <w:r w:rsidR="00D36CD7" w:rsidRPr="007E7763">
        <w:rPr>
          <w:sz w:val="24"/>
        </w:rPr>
        <w:t xml:space="preserve"> </w:t>
      </w:r>
      <w:r w:rsidR="00B01F31" w:rsidRPr="007E7763">
        <w:rPr>
          <w:sz w:val="24"/>
        </w:rPr>
        <w:t>are now separate and are budgeted</w:t>
      </w:r>
      <w:r w:rsidR="00087C2C" w:rsidRPr="007E7763">
        <w:rPr>
          <w:sz w:val="24"/>
        </w:rPr>
        <w:t xml:space="preserve"> at $3</w:t>
      </w:r>
      <w:r w:rsidR="002E7B10" w:rsidRPr="007E7763">
        <w:rPr>
          <w:sz w:val="24"/>
        </w:rPr>
        <w:t>5</w:t>
      </w:r>
      <w:r w:rsidR="00087C2C" w:rsidRPr="007E7763">
        <w:rPr>
          <w:sz w:val="24"/>
        </w:rPr>
        <w:t xml:space="preserve">,000.  </w:t>
      </w:r>
      <w:r w:rsidR="00D36CD7" w:rsidRPr="007E7763">
        <w:rPr>
          <w:sz w:val="24"/>
        </w:rPr>
        <w:t xml:space="preserve">Crime Free Housing License </w:t>
      </w:r>
      <w:r w:rsidR="00B01F31" w:rsidRPr="007E7763">
        <w:rPr>
          <w:sz w:val="24"/>
        </w:rPr>
        <w:t>Revenue</w:t>
      </w:r>
      <w:r w:rsidR="00087C2C" w:rsidRPr="007E7763">
        <w:rPr>
          <w:sz w:val="24"/>
        </w:rPr>
        <w:t xml:space="preserve"> </w:t>
      </w:r>
      <w:r w:rsidR="00D36CD7" w:rsidRPr="007E7763">
        <w:rPr>
          <w:sz w:val="24"/>
        </w:rPr>
        <w:t>is expected to generate $</w:t>
      </w:r>
      <w:r w:rsidR="009D4F47" w:rsidRPr="007E7763">
        <w:rPr>
          <w:sz w:val="24"/>
        </w:rPr>
        <w:t>1</w:t>
      </w:r>
      <w:r w:rsidR="00134BEF" w:rsidRPr="007E7763">
        <w:rPr>
          <w:sz w:val="24"/>
        </w:rPr>
        <w:t>6</w:t>
      </w:r>
      <w:r w:rsidR="003B7E7C" w:rsidRPr="007E7763">
        <w:rPr>
          <w:sz w:val="24"/>
        </w:rPr>
        <w:t>0</w:t>
      </w:r>
      <w:r w:rsidR="00D36CD7" w:rsidRPr="007E7763">
        <w:rPr>
          <w:sz w:val="24"/>
        </w:rPr>
        <w:t xml:space="preserve">,000.  </w:t>
      </w:r>
      <w:r w:rsidRPr="007E7763">
        <w:rPr>
          <w:sz w:val="24"/>
        </w:rPr>
        <w:t xml:space="preserve">Animal </w:t>
      </w:r>
      <w:r w:rsidR="00134BEF" w:rsidRPr="007E7763">
        <w:rPr>
          <w:sz w:val="24"/>
        </w:rPr>
        <w:t>l</w:t>
      </w:r>
      <w:r w:rsidRPr="007E7763">
        <w:rPr>
          <w:sz w:val="24"/>
        </w:rPr>
        <w:t>icenses total $</w:t>
      </w:r>
      <w:r w:rsidR="00077F1B" w:rsidRPr="007E7763">
        <w:rPr>
          <w:sz w:val="24"/>
        </w:rPr>
        <w:t>6</w:t>
      </w:r>
      <w:r w:rsidRPr="007E7763">
        <w:rPr>
          <w:sz w:val="24"/>
        </w:rPr>
        <w:t>,</w:t>
      </w:r>
      <w:r w:rsidR="002E7B10" w:rsidRPr="007E7763">
        <w:rPr>
          <w:sz w:val="24"/>
        </w:rPr>
        <w:t>0</w:t>
      </w:r>
      <w:r w:rsidR="003B7E7C" w:rsidRPr="007E7763">
        <w:rPr>
          <w:sz w:val="24"/>
        </w:rPr>
        <w:t>0</w:t>
      </w:r>
      <w:r w:rsidR="00E53368" w:rsidRPr="007E7763">
        <w:rPr>
          <w:sz w:val="24"/>
        </w:rPr>
        <w:t>0</w:t>
      </w:r>
      <w:r w:rsidR="0049556F" w:rsidRPr="007E7763">
        <w:rPr>
          <w:sz w:val="24"/>
        </w:rPr>
        <w:t>.  E</w:t>
      </w:r>
      <w:r w:rsidRPr="007E7763">
        <w:rPr>
          <w:sz w:val="24"/>
        </w:rPr>
        <w:t xml:space="preserve">levator inspection fees are </w:t>
      </w:r>
      <w:r w:rsidR="0049556F" w:rsidRPr="007E7763">
        <w:rPr>
          <w:sz w:val="24"/>
        </w:rPr>
        <w:t xml:space="preserve">budgeted at </w:t>
      </w:r>
      <w:r w:rsidRPr="007E7763">
        <w:rPr>
          <w:sz w:val="24"/>
        </w:rPr>
        <w:t>$</w:t>
      </w:r>
      <w:r w:rsidR="00CC7AD0" w:rsidRPr="007E7763">
        <w:rPr>
          <w:sz w:val="24"/>
        </w:rPr>
        <w:t>3</w:t>
      </w:r>
      <w:r w:rsidRPr="007E7763">
        <w:rPr>
          <w:sz w:val="24"/>
        </w:rPr>
        <w:t>,</w:t>
      </w:r>
      <w:r w:rsidR="00134BEF" w:rsidRPr="007E7763">
        <w:rPr>
          <w:sz w:val="24"/>
        </w:rPr>
        <w:t>3</w:t>
      </w:r>
      <w:r w:rsidRPr="007E7763">
        <w:rPr>
          <w:sz w:val="24"/>
        </w:rPr>
        <w:t>00.</w:t>
      </w:r>
      <w:r w:rsidR="00CC5417" w:rsidRPr="007E7763">
        <w:rPr>
          <w:sz w:val="24"/>
        </w:rPr>
        <w:t xml:space="preserve">  </w:t>
      </w:r>
    </w:p>
    <w:p w:rsidR="00AF3949" w:rsidRPr="00036936" w:rsidRDefault="00AF3949">
      <w:pPr>
        <w:rPr>
          <w:sz w:val="24"/>
          <w:szCs w:val="24"/>
          <w:u w:val="single"/>
        </w:rPr>
      </w:pPr>
    </w:p>
    <w:p w:rsidR="00BF34E3" w:rsidRPr="00036936" w:rsidRDefault="00BF34E3">
      <w:pPr>
        <w:rPr>
          <w:b/>
          <w:sz w:val="24"/>
        </w:rPr>
      </w:pPr>
      <w:r w:rsidRPr="00036936">
        <w:rPr>
          <w:b/>
          <w:sz w:val="24"/>
          <w:u w:val="single"/>
        </w:rPr>
        <w:t>Permits and Fees</w:t>
      </w:r>
    </w:p>
    <w:p w:rsidR="00BF34E3" w:rsidRPr="00036936" w:rsidRDefault="00BF34E3">
      <w:pPr>
        <w:rPr>
          <w:b/>
          <w:sz w:val="24"/>
        </w:rPr>
      </w:pPr>
    </w:p>
    <w:p w:rsidR="00FF6CE4" w:rsidRPr="00036936" w:rsidRDefault="00BF34E3">
      <w:pPr>
        <w:rPr>
          <w:sz w:val="24"/>
        </w:rPr>
      </w:pPr>
      <w:r w:rsidRPr="00036936">
        <w:rPr>
          <w:sz w:val="24"/>
        </w:rPr>
        <w:t>Revenue from permits includes cable franchise fees at $</w:t>
      </w:r>
      <w:r w:rsidR="00036936" w:rsidRPr="00036936">
        <w:rPr>
          <w:sz w:val="24"/>
        </w:rPr>
        <w:t>25</w:t>
      </w:r>
      <w:r w:rsidR="005F21BC" w:rsidRPr="00036936">
        <w:rPr>
          <w:sz w:val="24"/>
        </w:rPr>
        <w:t>0</w:t>
      </w:r>
      <w:r w:rsidRPr="00036936">
        <w:rPr>
          <w:sz w:val="24"/>
        </w:rPr>
        <w:t xml:space="preserve">,000, </w:t>
      </w:r>
      <w:r w:rsidR="00F11535" w:rsidRPr="00036936">
        <w:rPr>
          <w:sz w:val="24"/>
        </w:rPr>
        <w:t>PEG access capital fees of $</w:t>
      </w:r>
      <w:r w:rsidR="00036936" w:rsidRPr="00036936">
        <w:rPr>
          <w:sz w:val="24"/>
        </w:rPr>
        <w:t>15</w:t>
      </w:r>
      <w:r w:rsidR="00F11535" w:rsidRPr="00036936">
        <w:rPr>
          <w:sz w:val="24"/>
        </w:rPr>
        <w:t>,</w:t>
      </w:r>
      <w:r w:rsidR="00674053" w:rsidRPr="00036936">
        <w:rPr>
          <w:sz w:val="24"/>
        </w:rPr>
        <w:t>00</w:t>
      </w:r>
      <w:r w:rsidR="00F11535" w:rsidRPr="00036936">
        <w:rPr>
          <w:sz w:val="24"/>
        </w:rPr>
        <w:t xml:space="preserve">0, </w:t>
      </w:r>
      <w:r w:rsidRPr="00036936">
        <w:rPr>
          <w:sz w:val="24"/>
        </w:rPr>
        <w:t>building permit fees estimated at $</w:t>
      </w:r>
      <w:r w:rsidR="007309B1" w:rsidRPr="00036936">
        <w:rPr>
          <w:sz w:val="24"/>
        </w:rPr>
        <w:t>1</w:t>
      </w:r>
      <w:r w:rsidR="00055AAC" w:rsidRPr="00036936">
        <w:rPr>
          <w:sz w:val="24"/>
        </w:rPr>
        <w:t>2</w:t>
      </w:r>
      <w:r w:rsidR="007309B1" w:rsidRPr="00036936">
        <w:rPr>
          <w:sz w:val="24"/>
        </w:rPr>
        <w:t>0</w:t>
      </w:r>
      <w:r w:rsidRPr="00036936">
        <w:rPr>
          <w:sz w:val="24"/>
        </w:rPr>
        <w:t>,</w:t>
      </w:r>
      <w:r w:rsidR="00794539" w:rsidRPr="00036936">
        <w:rPr>
          <w:sz w:val="24"/>
        </w:rPr>
        <w:t>000</w:t>
      </w:r>
      <w:r w:rsidR="003420BE" w:rsidRPr="00036936">
        <w:rPr>
          <w:sz w:val="24"/>
        </w:rPr>
        <w:t xml:space="preserve"> </w:t>
      </w:r>
      <w:r w:rsidRPr="00036936">
        <w:rPr>
          <w:sz w:val="24"/>
        </w:rPr>
        <w:t>and park permits of $</w:t>
      </w:r>
      <w:r w:rsidR="001020CE" w:rsidRPr="00036936">
        <w:rPr>
          <w:sz w:val="24"/>
        </w:rPr>
        <w:t>1</w:t>
      </w:r>
      <w:r w:rsidR="005A4714" w:rsidRPr="00036936">
        <w:rPr>
          <w:sz w:val="24"/>
        </w:rPr>
        <w:t>2</w:t>
      </w:r>
      <w:r w:rsidRPr="00036936">
        <w:rPr>
          <w:sz w:val="24"/>
        </w:rPr>
        <w:t>,</w:t>
      </w:r>
      <w:r w:rsidR="00336480" w:rsidRPr="00036936">
        <w:rPr>
          <w:sz w:val="24"/>
        </w:rPr>
        <w:t>0</w:t>
      </w:r>
      <w:r w:rsidRPr="00036936">
        <w:rPr>
          <w:sz w:val="24"/>
        </w:rPr>
        <w:t>00.</w:t>
      </w:r>
      <w:r w:rsidR="00C5567A" w:rsidRPr="00036936">
        <w:rPr>
          <w:sz w:val="24"/>
        </w:rPr>
        <w:t xml:space="preserve">  Th</w:t>
      </w:r>
      <w:r w:rsidR="003E0BA0" w:rsidRPr="00036936">
        <w:rPr>
          <w:sz w:val="24"/>
        </w:rPr>
        <w:t>e</w:t>
      </w:r>
      <w:r w:rsidR="00C5567A" w:rsidRPr="00036936">
        <w:rPr>
          <w:sz w:val="24"/>
        </w:rPr>
        <w:t xml:space="preserve"> </w:t>
      </w:r>
    </w:p>
    <w:p w:rsidR="00BF34E3" w:rsidRPr="00036936" w:rsidRDefault="00C5567A">
      <w:pPr>
        <w:rPr>
          <w:sz w:val="16"/>
        </w:rPr>
      </w:pPr>
      <w:r w:rsidRPr="00036936">
        <w:rPr>
          <w:sz w:val="24"/>
        </w:rPr>
        <w:t xml:space="preserve">budget includes alarm permits </w:t>
      </w:r>
      <w:r w:rsidR="00F56A20" w:rsidRPr="00036936">
        <w:rPr>
          <w:sz w:val="24"/>
        </w:rPr>
        <w:t>of</w:t>
      </w:r>
      <w:r w:rsidRPr="00036936">
        <w:rPr>
          <w:sz w:val="24"/>
        </w:rPr>
        <w:t xml:space="preserve"> $</w:t>
      </w:r>
      <w:r w:rsidR="00F93C35" w:rsidRPr="00036936">
        <w:rPr>
          <w:sz w:val="24"/>
        </w:rPr>
        <w:t>2</w:t>
      </w:r>
      <w:r w:rsidR="007309B1" w:rsidRPr="00036936">
        <w:rPr>
          <w:sz w:val="24"/>
        </w:rPr>
        <w:t>8</w:t>
      </w:r>
      <w:r w:rsidRPr="00036936">
        <w:rPr>
          <w:sz w:val="24"/>
        </w:rPr>
        <w:t>,000 and vacant building registration fees of $</w:t>
      </w:r>
      <w:r w:rsidR="007309B1" w:rsidRPr="00036936">
        <w:rPr>
          <w:sz w:val="24"/>
        </w:rPr>
        <w:t>1</w:t>
      </w:r>
      <w:r w:rsidR="00036936" w:rsidRPr="00036936">
        <w:rPr>
          <w:sz w:val="24"/>
        </w:rPr>
        <w:t>0</w:t>
      </w:r>
      <w:r w:rsidRPr="00036936">
        <w:rPr>
          <w:sz w:val="24"/>
        </w:rPr>
        <w:t>,000.</w:t>
      </w:r>
      <w:r w:rsidR="001020CE" w:rsidRPr="00036936">
        <w:rPr>
          <w:sz w:val="24"/>
        </w:rPr>
        <w:t xml:space="preserve">  </w:t>
      </w:r>
      <w:r w:rsidR="003420BE" w:rsidRPr="00036936">
        <w:rPr>
          <w:sz w:val="24"/>
        </w:rPr>
        <w:br/>
      </w:r>
    </w:p>
    <w:p w:rsidR="00BF34E3" w:rsidRPr="00036936" w:rsidRDefault="00BF34E3">
      <w:pPr>
        <w:rPr>
          <w:b/>
          <w:sz w:val="24"/>
        </w:rPr>
      </w:pPr>
      <w:r w:rsidRPr="00036936">
        <w:rPr>
          <w:b/>
          <w:sz w:val="24"/>
          <w:u w:val="single"/>
        </w:rPr>
        <w:t>Charges for Services</w:t>
      </w:r>
    </w:p>
    <w:p w:rsidR="00BF34E3" w:rsidRPr="00036936" w:rsidRDefault="00BF34E3">
      <w:pPr>
        <w:rPr>
          <w:b/>
          <w:sz w:val="24"/>
        </w:rPr>
      </w:pPr>
    </w:p>
    <w:p w:rsidR="009823DF" w:rsidRPr="00077F1B" w:rsidRDefault="00D36E70">
      <w:pPr>
        <w:rPr>
          <w:sz w:val="24"/>
        </w:rPr>
      </w:pPr>
      <w:r w:rsidRPr="00077F1B">
        <w:rPr>
          <w:sz w:val="24"/>
        </w:rPr>
        <w:t>Gross h</w:t>
      </w:r>
      <w:r w:rsidR="00C5567A" w:rsidRPr="00077F1B">
        <w:rPr>
          <w:sz w:val="24"/>
        </w:rPr>
        <w:t xml:space="preserve">ospital transport is </w:t>
      </w:r>
      <w:r w:rsidR="00F93C35" w:rsidRPr="00077F1B">
        <w:rPr>
          <w:sz w:val="24"/>
        </w:rPr>
        <w:t xml:space="preserve">budgeted </w:t>
      </w:r>
      <w:r w:rsidR="007309B1" w:rsidRPr="00077F1B">
        <w:rPr>
          <w:sz w:val="24"/>
        </w:rPr>
        <w:t>at</w:t>
      </w:r>
      <w:r w:rsidR="00B5027E" w:rsidRPr="00077F1B">
        <w:rPr>
          <w:sz w:val="24"/>
        </w:rPr>
        <w:t xml:space="preserve"> $</w:t>
      </w:r>
      <w:r w:rsidR="00077F1B" w:rsidRPr="00077F1B">
        <w:rPr>
          <w:sz w:val="24"/>
        </w:rPr>
        <w:t>957</w:t>
      </w:r>
      <w:r w:rsidR="00B5027E" w:rsidRPr="00077F1B">
        <w:rPr>
          <w:sz w:val="24"/>
        </w:rPr>
        <w:t>,</w:t>
      </w:r>
      <w:r w:rsidR="00077F1B" w:rsidRPr="00077F1B">
        <w:rPr>
          <w:sz w:val="24"/>
        </w:rPr>
        <w:t>5</w:t>
      </w:r>
      <w:r w:rsidR="00B5027E" w:rsidRPr="00077F1B">
        <w:rPr>
          <w:sz w:val="24"/>
        </w:rPr>
        <w:t>00</w:t>
      </w:r>
      <w:r w:rsidR="00C5567A" w:rsidRPr="00077F1B">
        <w:rPr>
          <w:sz w:val="24"/>
        </w:rPr>
        <w:t>.</w:t>
      </w:r>
      <w:r w:rsidR="00273766" w:rsidRPr="00077F1B">
        <w:rPr>
          <w:sz w:val="24"/>
        </w:rPr>
        <w:t xml:space="preserve">  Property lease revenue related </w:t>
      </w:r>
      <w:r w:rsidR="00E53368" w:rsidRPr="00077F1B">
        <w:rPr>
          <w:sz w:val="24"/>
        </w:rPr>
        <w:t xml:space="preserve">primarily </w:t>
      </w:r>
      <w:r w:rsidR="00273766" w:rsidRPr="00077F1B">
        <w:rPr>
          <w:sz w:val="24"/>
        </w:rPr>
        <w:t>to cel</w:t>
      </w:r>
      <w:r w:rsidR="007D76AA" w:rsidRPr="00077F1B">
        <w:rPr>
          <w:sz w:val="24"/>
        </w:rPr>
        <w:t>l</w:t>
      </w:r>
      <w:r w:rsidR="00273766" w:rsidRPr="00077F1B">
        <w:rPr>
          <w:sz w:val="24"/>
        </w:rPr>
        <w:t xml:space="preserve"> tower leases </w:t>
      </w:r>
      <w:r w:rsidR="007309B1" w:rsidRPr="00077F1B">
        <w:rPr>
          <w:sz w:val="24"/>
        </w:rPr>
        <w:t xml:space="preserve">is budgeted </w:t>
      </w:r>
      <w:r w:rsidR="00055AAC" w:rsidRPr="00077F1B">
        <w:rPr>
          <w:sz w:val="24"/>
        </w:rPr>
        <w:t>at</w:t>
      </w:r>
      <w:r w:rsidRPr="00077F1B">
        <w:rPr>
          <w:sz w:val="24"/>
        </w:rPr>
        <w:t xml:space="preserve"> $1</w:t>
      </w:r>
      <w:r w:rsidR="00077F1B" w:rsidRPr="00077F1B">
        <w:rPr>
          <w:sz w:val="24"/>
        </w:rPr>
        <w:t>90</w:t>
      </w:r>
      <w:r w:rsidRPr="00077F1B">
        <w:rPr>
          <w:sz w:val="24"/>
        </w:rPr>
        <w:t>,000</w:t>
      </w:r>
      <w:r w:rsidR="00273766" w:rsidRPr="00077F1B">
        <w:rPr>
          <w:sz w:val="24"/>
        </w:rPr>
        <w:t>.</w:t>
      </w:r>
      <w:r w:rsidR="00C5567A" w:rsidRPr="00077F1B">
        <w:rPr>
          <w:sz w:val="24"/>
        </w:rPr>
        <w:t xml:space="preserve"> </w:t>
      </w:r>
      <w:r w:rsidR="00E53368" w:rsidRPr="00077F1B">
        <w:rPr>
          <w:sz w:val="24"/>
        </w:rPr>
        <w:t xml:space="preserve"> </w:t>
      </w:r>
      <w:r w:rsidR="007309B1" w:rsidRPr="00077F1B">
        <w:rPr>
          <w:sz w:val="24"/>
        </w:rPr>
        <w:t>The net revenue from merchandising and jobbing</w:t>
      </w:r>
      <w:r w:rsidR="00087ECA" w:rsidRPr="00077F1B">
        <w:rPr>
          <w:sz w:val="24"/>
        </w:rPr>
        <w:t>, the majority of activity here is enforced mowing revenue,</w:t>
      </w:r>
      <w:r w:rsidR="007309B1" w:rsidRPr="00077F1B">
        <w:rPr>
          <w:sz w:val="24"/>
        </w:rPr>
        <w:t xml:space="preserve"> is budgeted to </w:t>
      </w:r>
      <w:r w:rsidR="00077F1B" w:rsidRPr="00077F1B">
        <w:rPr>
          <w:sz w:val="24"/>
        </w:rPr>
        <w:t>de</w:t>
      </w:r>
      <w:r w:rsidR="007309B1" w:rsidRPr="00077F1B">
        <w:rPr>
          <w:sz w:val="24"/>
        </w:rPr>
        <w:t>crease from $</w:t>
      </w:r>
      <w:r w:rsidR="00055AAC" w:rsidRPr="00077F1B">
        <w:rPr>
          <w:sz w:val="24"/>
        </w:rPr>
        <w:t>225</w:t>
      </w:r>
      <w:r w:rsidR="007309B1" w:rsidRPr="00077F1B">
        <w:rPr>
          <w:sz w:val="24"/>
        </w:rPr>
        <w:t>,000</w:t>
      </w:r>
      <w:r w:rsidR="00077F1B" w:rsidRPr="00077F1B">
        <w:rPr>
          <w:sz w:val="24"/>
        </w:rPr>
        <w:t xml:space="preserve"> to $100,000</w:t>
      </w:r>
      <w:r w:rsidR="007309B1" w:rsidRPr="00077F1B">
        <w:rPr>
          <w:sz w:val="24"/>
        </w:rPr>
        <w:t>.</w:t>
      </w:r>
    </w:p>
    <w:p w:rsidR="00371F24" w:rsidRPr="00077F1B" w:rsidRDefault="00371F24">
      <w:pPr>
        <w:rPr>
          <w:sz w:val="24"/>
        </w:rPr>
      </w:pPr>
    </w:p>
    <w:p w:rsidR="006D1F66" w:rsidRPr="006828AB" w:rsidRDefault="00D71D02">
      <w:pPr>
        <w:rPr>
          <w:sz w:val="24"/>
          <w:highlight w:val="yellow"/>
        </w:rPr>
      </w:pPr>
      <w:r>
        <w:rPr>
          <w:noProof/>
        </w:rPr>
        <w:drawing>
          <wp:inline distT="0" distB="0" distL="0" distR="0" wp14:anchorId="36EA15BF" wp14:editId="6CE51951">
            <wp:extent cx="5577840" cy="3240405"/>
            <wp:effectExtent l="0" t="0" r="3810" b="171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11119" w:rsidRPr="006828AB" w:rsidRDefault="00D11119">
      <w:pPr>
        <w:rPr>
          <w:sz w:val="24"/>
          <w:highlight w:val="yellow"/>
        </w:rPr>
      </w:pPr>
    </w:p>
    <w:p w:rsidR="00BE2CF4" w:rsidRPr="003B72F0" w:rsidRDefault="00BE2CF4" w:rsidP="00C9048D">
      <w:pPr>
        <w:jc w:val="center"/>
        <w:rPr>
          <w:noProof/>
          <w:sz w:val="24"/>
        </w:rPr>
      </w:pPr>
    </w:p>
    <w:p w:rsidR="00BF34E3" w:rsidRPr="003B72F0" w:rsidRDefault="00BF34E3">
      <w:pPr>
        <w:rPr>
          <w:sz w:val="24"/>
        </w:rPr>
      </w:pPr>
      <w:r w:rsidRPr="003B72F0">
        <w:rPr>
          <w:sz w:val="24"/>
        </w:rPr>
        <w:t xml:space="preserve">Other charges include revenue for </w:t>
      </w:r>
      <w:r w:rsidR="00055AAC" w:rsidRPr="003B72F0">
        <w:rPr>
          <w:sz w:val="24"/>
        </w:rPr>
        <w:t xml:space="preserve">ridership fees for </w:t>
      </w:r>
      <w:r w:rsidRPr="003B72F0">
        <w:rPr>
          <w:sz w:val="24"/>
        </w:rPr>
        <w:t xml:space="preserve">Jolly Trolley, </w:t>
      </w:r>
      <w:r w:rsidR="00EB7B01" w:rsidRPr="003B72F0">
        <w:rPr>
          <w:sz w:val="24"/>
        </w:rPr>
        <w:t>enforced lawn-mowing</w:t>
      </w:r>
      <w:r w:rsidR="004550F2" w:rsidRPr="003B72F0">
        <w:rPr>
          <w:sz w:val="24"/>
        </w:rPr>
        <w:t xml:space="preserve"> </w:t>
      </w:r>
      <w:r w:rsidR="003119E8" w:rsidRPr="003B72F0">
        <w:rPr>
          <w:sz w:val="24"/>
        </w:rPr>
        <w:t xml:space="preserve">and miscellaneous </w:t>
      </w:r>
      <w:r w:rsidR="004550F2" w:rsidRPr="003B72F0">
        <w:rPr>
          <w:sz w:val="24"/>
        </w:rPr>
        <w:t>p</w:t>
      </w:r>
      <w:r w:rsidR="003119E8" w:rsidRPr="003B72F0">
        <w:rPr>
          <w:sz w:val="24"/>
        </w:rPr>
        <w:t xml:space="preserve">olice </w:t>
      </w:r>
      <w:r w:rsidR="00216E43" w:rsidRPr="003B72F0">
        <w:rPr>
          <w:sz w:val="24"/>
        </w:rPr>
        <w:t>salary reimbursement</w:t>
      </w:r>
      <w:r w:rsidR="003F4CFB" w:rsidRPr="003B72F0">
        <w:rPr>
          <w:sz w:val="24"/>
        </w:rPr>
        <w:t>s</w:t>
      </w:r>
      <w:r w:rsidR="003119E8" w:rsidRPr="003B72F0">
        <w:rPr>
          <w:sz w:val="24"/>
        </w:rPr>
        <w:t>.</w:t>
      </w:r>
      <w:r w:rsidR="003D60FD" w:rsidRPr="003B72F0">
        <w:rPr>
          <w:sz w:val="24"/>
        </w:rPr>
        <w:t xml:space="preserve">  </w:t>
      </w:r>
    </w:p>
    <w:p w:rsidR="00E56235" w:rsidRPr="003B72F0" w:rsidRDefault="00E56235">
      <w:pPr>
        <w:rPr>
          <w:sz w:val="24"/>
        </w:rPr>
      </w:pPr>
    </w:p>
    <w:p w:rsidR="004F54F0" w:rsidRPr="003B72F0" w:rsidRDefault="004F54F0">
      <w:pPr>
        <w:rPr>
          <w:b/>
          <w:sz w:val="24"/>
          <w:u w:val="single"/>
        </w:rPr>
      </w:pPr>
    </w:p>
    <w:p w:rsidR="004F54F0" w:rsidRPr="006828AB" w:rsidRDefault="004F54F0">
      <w:pPr>
        <w:rPr>
          <w:b/>
          <w:sz w:val="24"/>
          <w:highlight w:val="yellow"/>
          <w:u w:val="single"/>
        </w:rPr>
      </w:pPr>
    </w:p>
    <w:p w:rsidR="004F54F0" w:rsidRPr="006828AB" w:rsidRDefault="004F54F0">
      <w:pPr>
        <w:rPr>
          <w:b/>
          <w:sz w:val="24"/>
          <w:highlight w:val="yellow"/>
          <w:u w:val="single"/>
        </w:rPr>
      </w:pPr>
    </w:p>
    <w:p w:rsidR="00BF34E3" w:rsidRPr="00C91435" w:rsidRDefault="00BF34E3">
      <w:pPr>
        <w:rPr>
          <w:b/>
          <w:sz w:val="24"/>
        </w:rPr>
      </w:pPr>
      <w:r w:rsidRPr="00C91435">
        <w:rPr>
          <w:b/>
          <w:sz w:val="24"/>
          <w:u w:val="single"/>
        </w:rPr>
        <w:t>Fines</w:t>
      </w:r>
    </w:p>
    <w:p w:rsidR="00BF34E3" w:rsidRPr="00C91435" w:rsidRDefault="00BF34E3">
      <w:pPr>
        <w:rPr>
          <w:sz w:val="24"/>
        </w:rPr>
      </w:pPr>
    </w:p>
    <w:p w:rsidR="00BF34E3" w:rsidRPr="00C91435" w:rsidRDefault="00FA1221">
      <w:r w:rsidRPr="00C91435">
        <w:rPr>
          <w:sz w:val="24"/>
        </w:rPr>
        <w:t xml:space="preserve">Across all General Fund fine revenue accounts, fine revenues are expected to </w:t>
      </w:r>
      <w:r w:rsidR="00C91435" w:rsidRPr="00C91435">
        <w:rPr>
          <w:sz w:val="24"/>
        </w:rPr>
        <w:t>be flat</w:t>
      </w:r>
      <w:r w:rsidRPr="00C91435">
        <w:rPr>
          <w:sz w:val="24"/>
        </w:rPr>
        <w:t xml:space="preserve">.  </w:t>
      </w:r>
      <w:r w:rsidR="003119E8" w:rsidRPr="00C91435">
        <w:rPr>
          <w:sz w:val="24"/>
        </w:rPr>
        <w:t>The Police Department ma</w:t>
      </w:r>
      <w:r w:rsidRPr="00C91435">
        <w:rPr>
          <w:sz w:val="24"/>
        </w:rPr>
        <w:t>kes</w:t>
      </w:r>
      <w:r w:rsidR="003119E8" w:rsidRPr="00C91435">
        <w:rPr>
          <w:sz w:val="24"/>
        </w:rPr>
        <w:t xml:space="preserve"> recommendations </w:t>
      </w:r>
      <w:r w:rsidRPr="00C91435">
        <w:rPr>
          <w:sz w:val="24"/>
        </w:rPr>
        <w:t>on the amounts to set fines, which includes</w:t>
      </w:r>
      <w:r w:rsidR="003119E8" w:rsidRPr="00C91435">
        <w:rPr>
          <w:sz w:val="24"/>
        </w:rPr>
        <w:t xml:space="preserve"> vehicle seizure offenses.</w:t>
      </w:r>
      <w:r w:rsidR="003119E8" w:rsidRPr="006E64CC">
        <w:rPr>
          <w:sz w:val="24"/>
        </w:rPr>
        <w:t xml:space="preserve">  </w:t>
      </w:r>
      <w:r w:rsidR="003119E8" w:rsidRPr="00C91435">
        <w:rPr>
          <w:sz w:val="24"/>
        </w:rPr>
        <w:t xml:space="preserve">According to ordinance </w:t>
      </w:r>
      <w:r w:rsidR="00D270CC" w:rsidRPr="00C91435">
        <w:rPr>
          <w:sz w:val="24"/>
        </w:rPr>
        <w:t>2</w:t>
      </w:r>
      <w:r w:rsidR="003119E8" w:rsidRPr="00C91435">
        <w:rPr>
          <w:sz w:val="24"/>
        </w:rPr>
        <w:t>0%</w:t>
      </w:r>
      <w:r w:rsidR="004550F2" w:rsidRPr="00C91435">
        <w:rPr>
          <w:sz w:val="24"/>
        </w:rPr>
        <w:t>, or $</w:t>
      </w:r>
      <w:r w:rsidRPr="00C91435">
        <w:rPr>
          <w:sz w:val="24"/>
        </w:rPr>
        <w:t>1</w:t>
      </w:r>
      <w:r w:rsidR="0039783F" w:rsidRPr="00C91435">
        <w:rPr>
          <w:sz w:val="24"/>
        </w:rPr>
        <w:t>5</w:t>
      </w:r>
      <w:r w:rsidR="004550F2" w:rsidRPr="00C91435">
        <w:rPr>
          <w:sz w:val="24"/>
        </w:rPr>
        <w:t>,</w:t>
      </w:r>
      <w:r w:rsidR="00252992" w:rsidRPr="00C91435">
        <w:rPr>
          <w:sz w:val="24"/>
        </w:rPr>
        <w:t>0</w:t>
      </w:r>
      <w:r w:rsidR="00AD52A7" w:rsidRPr="00C91435">
        <w:rPr>
          <w:sz w:val="24"/>
        </w:rPr>
        <w:t>00</w:t>
      </w:r>
      <w:r w:rsidR="004550F2" w:rsidRPr="00C91435">
        <w:rPr>
          <w:sz w:val="24"/>
        </w:rPr>
        <w:t>,</w:t>
      </w:r>
      <w:r w:rsidR="003119E8" w:rsidRPr="00C91435">
        <w:rPr>
          <w:sz w:val="24"/>
        </w:rPr>
        <w:t xml:space="preserve"> of vehicle seizure fines </w:t>
      </w:r>
      <w:r w:rsidR="00252992" w:rsidRPr="00C91435">
        <w:rPr>
          <w:sz w:val="24"/>
        </w:rPr>
        <w:t>will be</w:t>
      </w:r>
      <w:r w:rsidR="004550F2" w:rsidRPr="00C91435">
        <w:rPr>
          <w:sz w:val="24"/>
        </w:rPr>
        <w:t xml:space="preserve"> allocated</w:t>
      </w:r>
      <w:r w:rsidR="003119E8" w:rsidRPr="00C91435">
        <w:rPr>
          <w:sz w:val="24"/>
        </w:rPr>
        <w:t xml:space="preserve"> towards youth </w:t>
      </w:r>
      <w:r w:rsidR="00D62230" w:rsidRPr="00C91435">
        <w:rPr>
          <w:sz w:val="24"/>
        </w:rPr>
        <w:t>services.</w:t>
      </w:r>
      <w:r w:rsidR="001D1B6E" w:rsidRPr="00C91435">
        <w:rPr>
          <w:sz w:val="24"/>
        </w:rPr>
        <w:t xml:space="preserve">  </w:t>
      </w:r>
      <w:r w:rsidR="00FC70BD" w:rsidRPr="006E64CC">
        <w:rPr>
          <w:sz w:val="24"/>
        </w:rPr>
        <w:t>A</w:t>
      </w:r>
      <w:r w:rsidR="0031541A" w:rsidRPr="006E64CC">
        <w:rPr>
          <w:sz w:val="24"/>
        </w:rPr>
        <w:t>n</w:t>
      </w:r>
      <w:r w:rsidR="000F74F8" w:rsidRPr="006E64CC">
        <w:rPr>
          <w:sz w:val="24"/>
        </w:rPr>
        <w:t>other</w:t>
      </w:r>
      <w:r w:rsidR="00FC70BD" w:rsidRPr="006E64CC">
        <w:rPr>
          <w:sz w:val="24"/>
        </w:rPr>
        <w:t xml:space="preserve"> source of revenue involves attaching </w:t>
      </w:r>
      <w:r w:rsidR="0031541A" w:rsidRPr="006E64CC">
        <w:rPr>
          <w:sz w:val="24"/>
        </w:rPr>
        <w:t>a lien against</w:t>
      </w:r>
      <w:r w:rsidR="00FC70BD" w:rsidRPr="006E64CC">
        <w:rPr>
          <w:sz w:val="24"/>
        </w:rPr>
        <w:t xml:space="preserve"> income tax refunds to pay outstanding Village debts</w:t>
      </w:r>
      <w:r w:rsidR="00682618" w:rsidRPr="006E64CC">
        <w:rPr>
          <w:sz w:val="24"/>
        </w:rPr>
        <w:t>, known as I</w:t>
      </w:r>
      <w:r w:rsidR="000F74F8" w:rsidRPr="006E64CC">
        <w:rPr>
          <w:sz w:val="24"/>
        </w:rPr>
        <w:t>DROP</w:t>
      </w:r>
      <w:r w:rsidR="00FC70BD" w:rsidRPr="006E64CC">
        <w:rPr>
          <w:sz w:val="24"/>
        </w:rPr>
        <w:t xml:space="preserve">.  </w:t>
      </w:r>
      <w:r w:rsidR="00FC70BD" w:rsidRPr="00C91435">
        <w:rPr>
          <w:sz w:val="24"/>
        </w:rPr>
        <w:t>IDROP revenue is expected to generate $</w:t>
      </w:r>
      <w:r w:rsidRPr="00C91435">
        <w:rPr>
          <w:sz w:val="24"/>
        </w:rPr>
        <w:t>1</w:t>
      </w:r>
      <w:r w:rsidR="00055AAC" w:rsidRPr="00C91435">
        <w:rPr>
          <w:sz w:val="24"/>
        </w:rPr>
        <w:t>25</w:t>
      </w:r>
      <w:r w:rsidR="00FC70BD" w:rsidRPr="00C91435">
        <w:rPr>
          <w:sz w:val="24"/>
        </w:rPr>
        <w:t>,</w:t>
      </w:r>
      <w:r w:rsidR="000F74F8" w:rsidRPr="00C91435">
        <w:rPr>
          <w:sz w:val="24"/>
        </w:rPr>
        <w:t>0</w:t>
      </w:r>
      <w:r w:rsidR="00FC70BD" w:rsidRPr="00C91435">
        <w:rPr>
          <w:sz w:val="24"/>
        </w:rPr>
        <w:t xml:space="preserve">00 in net revenue. </w:t>
      </w:r>
    </w:p>
    <w:p w:rsidR="004F54F0" w:rsidRPr="00C91435" w:rsidRDefault="004F54F0">
      <w:pPr>
        <w:rPr>
          <w:b/>
          <w:sz w:val="24"/>
          <w:u w:val="single"/>
        </w:rPr>
      </w:pPr>
    </w:p>
    <w:p w:rsidR="00BF34E3" w:rsidRPr="006E64CC" w:rsidRDefault="00BF34E3">
      <w:pPr>
        <w:rPr>
          <w:b/>
          <w:sz w:val="24"/>
          <w:u w:val="single"/>
        </w:rPr>
      </w:pPr>
      <w:r w:rsidRPr="00C91435">
        <w:rPr>
          <w:b/>
          <w:sz w:val="24"/>
          <w:u w:val="single"/>
        </w:rPr>
        <w:t>Interest Earnings</w:t>
      </w:r>
    </w:p>
    <w:p w:rsidR="00BF34E3" w:rsidRPr="006E64CC" w:rsidRDefault="00BF34E3">
      <w:pPr>
        <w:rPr>
          <w:sz w:val="24"/>
          <w:u w:val="single"/>
        </w:rPr>
      </w:pPr>
    </w:p>
    <w:p w:rsidR="00BF34E3" w:rsidRPr="0031541A" w:rsidRDefault="009B2BF8">
      <w:pPr>
        <w:pStyle w:val="BodyText"/>
        <w:tabs>
          <w:tab w:val="clear" w:pos="709"/>
          <w:tab w:val="clear" w:pos="5850"/>
        </w:tabs>
      </w:pPr>
      <w:r w:rsidRPr="006E64CC">
        <w:t>A</w:t>
      </w:r>
      <w:r w:rsidR="00A20744" w:rsidRPr="006E64CC">
        <w:t xml:space="preserve"> laddered CD portfolio was established in 2009.  </w:t>
      </w:r>
      <w:r w:rsidR="007C33F4" w:rsidRPr="006E64CC">
        <w:t xml:space="preserve">In 2019, the Village contracted with two additional financial institutions </w:t>
      </w:r>
      <w:r w:rsidR="0070012E" w:rsidRPr="006E64CC">
        <w:t xml:space="preserve">in an effort </w:t>
      </w:r>
      <w:r w:rsidR="007C33F4" w:rsidRPr="006E64CC">
        <w:t xml:space="preserve">to </w:t>
      </w:r>
      <w:r w:rsidR="0070012E" w:rsidRPr="006E64CC">
        <w:t>increase</w:t>
      </w:r>
      <w:r w:rsidR="007C33F4" w:rsidRPr="006E64CC">
        <w:t xml:space="preserve"> earnings </w:t>
      </w:r>
      <w:r w:rsidR="0070012E" w:rsidRPr="006E64CC">
        <w:t>in</w:t>
      </w:r>
      <w:r w:rsidR="007C33F4" w:rsidRPr="006E64CC">
        <w:t xml:space="preserve"> the General Fund.</w:t>
      </w:r>
      <w:r w:rsidR="0070012E" w:rsidRPr="006E64CC">
        <w:t xml:space="preserve">  </w:t>
      </w:r>
      <w:r w:rsidR="003119E8" w:rsidRPr="006E64CC">
        <w:t xml:space="preserve">The Village utilizes sweep </w:t>
      </w:r>
      <w:r w:rsidR="0078557A" w:rsidRPr="006E64CC">
        <w:t xml:space="preserve">accounts and direct deposits to </w:t>
      </w:r>
      <w:r w:rsidR="0070012E" w:rsidRPr="006E64CC">
        <w:t xml:space="preserve">further </w:t>
      </w:r>
      <w:r w:rsidR="0078557A" w:rsidRPr="006E64CC">
        <w:t xml:space="preserve">maximize earnings.  </w:t>
      </w:r>
      <w:r w:rsidR="00C91435" w:rsidRPr="00C91435">
        <w:t>I</w:t>
      </w:r>
      <w:r w:rsidR="00412281" w:rsidRPr="00C91435">
        <w:t xml:space="preserve">nterest rates started declining in mid-to-late 2019 </w:t>
      </w:r>
      <w:r w:rsidR="00C91435" w:rsidRPr="00C91435">
        <w:t>but have rebounded in 2022 accompanied by, unfortunately, higher inflation.  B</w:t>
      </w:r>
      <w:r w:rsidR="00FD6364" w:rsidRPr="00C91435">
        <w:t xml:space="preserve">udgeted </w:t>
      </w:r>
      <w:r w:rsidR="00087C2C" w:rsidRPr="00C91435">
        <w:t xml:space="preserve">interest earnings are anticipated to </w:t>
      </w:r>
      <w:r w:rsidR="001A0410" w:rsidRPr="00C91435">
        <w:t>be</w:t>
      </w:r>
      <w:r w:rsidR="00F376C2" w:rsidRPr="00C91435">
        <w:t xml:space="preserve"> </w:t>
      </w:r>
      <w:r w:rsidR="00087C2C" w:rsidRPr="00C91435">
        <w:t>$</w:t>
      </w:r>
      <w:r w:rsidR="0039783F" w:rsidRPr="00C91435">
        <w:t>8</w:t>
      </w:r>
      <w:r w:rsidR="00C91435" w:rsidRPr="00C91435">
        <w:t>6</w:t>
      </w:r>
      <w:r w:rsidR="00087C2C" w:rsidRPr="00C91435">
        <w:t>,000</w:t>
      </w:r>
      <w:r w:rsidR="0070012E" w:rsidRPr="00C91435">
        <w:t xml:space="preserve"> for FY 20</w:t>
      </w:r>
      <w:r w:rsidR="00412281" w:rsidRPr="00C91435">
        <w:t>2</w:t>
      </w:r>
      <w:r w:rsidR="00C91435" w:rsidRPr="00C91435">
        <w:t>2</w:t>
      </w:r>
      <w:r w:rsidR="0070012E" w:rsidRPr="00C91435">
        <w:t>/202</w:t>
      </w:r>
      <w:r w:rsidR="00C91435" w:rsidRPr="00C91435">
        <w:t>3</w:t>
      </w:r>
      <w:r w:rsidR="0039783F" w:rsidRPr="00C91435">
        <w:t>2</w:t>
      </w:r>
      <w:r w:rsidR="0070012E" w:rsidRPr="00C91435">
        <w:t>.</w:t>
      </w:r>
    </w:p>
    <w:sectPr w:rsidR="00BF34E3" w:rsidRPr="0031541A" w:rsidSect="004D265F">
      <w:footerReference w:type="default" r:id="rId19"/>
      <w:pgSz w:w="12240" w:h="15840" w:code="1"/>
      <w:pgMar w:top="1440" w:right="1728" w:bottom="634" w:left="1728" w:header="720" w:footer="36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0D7" w:rsidRDefault="008A70D7">
      <w:r>
        <w:separator/>
      </w:r>
    </w:p>
  </w:endnote>
  <w:endnote w:type="continuationSeparator" w:id="0">
    <w:p w:rsidR="008A70D7" w:rsidRDefault="008A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F1B" w:rsidRDefault="00077F1B">
    <w:pPr>
      <w:pStyle w:val="Footer"/>
      <w:tabs>
        <w:tab w:val="left" w:pos="3690"/>
      </w:tabs>
      <w:jc w:val="center"/>
      <w:rPr>
        <w:sz w:val="22"/>
      </w:rPr>
    </w:pPr>
    <w:r>
      <w:rPr>
        <w:sz w:val="22"/>
      </w:rPr>
      <w:t>2-</w:t>
    </w:r>
    <w:r w:rsidRPr="0020708F">
      <w:rPr>
        <w:sz w:val="22"/>
      </w:rPr>
      <w:fldChar w:fldCharType="begin"/>
    </w:r>
    <w:r w:rsidRPr="0020708F">
      <w:rPr>
        <w:sz w:val="22"/>
      </w:rPr>
      <w:instrText xml:space="preserve"> PAGE   \* MERGEFORMAT </w:instrText>
    </w:r>
    <w:r w:rsidRPr="0020708F">
      <w:rPr>
        <w:sz w:val="22"/>
      </w:rPr>
      <w:fldChar w:fldCharType="separate"/>
    </w:r>
    <w:r w:rsidR="003907FC">
      <w:rPr>
        <w:noProof/>
        <w:sz w:val="22"/>
      </w:rPr>
      <w:t>5</w:t>
    </w:r>
    <w:r w:rsidRPr="0020708F">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0D7" w:rsidRDefault="008A70D7">
      <w:r>
        <w:separator/>
      </w:r>
    </w:p>
  </w:footnote>
  <w:footnote w:type="continuationSeparator" w:id="0">
    <w:p w:rsidR="008A70D7" w:rsidRDefault="008A7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70012"/>
    <w:multiLevelType w:val="singleLevel"/>
    <w:tmpl w:val="DCB22B3E"/>
    <w:lvl w:ilvl="0">
      <w:start w:val="1993"/>
      <w:numFmt w:val="decimal"/>
      <w:lvlText w:val="%1"/>
      <w:lvlJc w:val="left"/>
      <w:pPr>
        <w:tabs>
          <w:tab w:val="num" w:pos="5040"/>
        </w:tabs>
        <w:ind w:left="5040" w:hanging="2160"/>
      </w:pPr>
      <w:rPr>
        <w:rFonts w:hint="default"/>
      </w:rPr>
    </w:lvl>
  </w:abstractNum>
  <w:abstractNum w:abstractNumId="1" w15:restartNumberingAfterBreak="0">
    <w:nsid w:val="287A000D"/>
    <w:multiLevelType w:val="multilevel"/>
    <w:tmpl w:val="7902B25C"/>
    <w:lvl w:ilvl="0">
      <w:start w:val="1993"/>
      <w:numFmt w:val="decimal"/>
      <w:lvlText w:val="%1"/>
      <w:lvlJc w:val="left"/>
      <w:pPr>
        <w:tabs>
          <w:tab w:val="num" w:pos="5040"/>
        </w:tabs>
        <w:ind w:left="5040" w:hanging="21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72F3E2D"/>
    <w:multiLevelType w:val="hybridMultilevel"/>
    <w:tmpl w:val="7F74E5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94F2DE9"/>
    <w:multiLevelType w:val="hybridMultilevel"/>
    <w:tmpl w:val="00E6BC2E"/>
    <w:lvl w:ilvl="0" w:tplc="FB069CA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4AF609EF"/>
    <w:multiLevelType w:val="hybridMultilevel"/>
    <w:tmpl w:val="65DC1B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00189"/>
    <w:multiLevelType w:val="multilevel"/>
    <w:tmpl w:val="553A1898"/>
    <w:lvl w:ilvl="0">
      <w:start w:val="1994"/>
      <w:numFmt w:val="decimal"/>
      <w:lvlText w:val="%1"/>
      <w:lvlJc w:val="left"/>
      <w:pPr>
        <w:tabs>
          <w:tab w:val="num" w:pos="5040"/>
        </w:tabs>
        <w:ind w:left="5040" w:hanging="21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9F067CF"/>
    <w:multiLevelType w:val="hybridMultilevel"/>
    <w:tmpl w:val="D07801AC"/>
    <w:lvl w:ilvl="0" w:tplc="93B4FBEA">
      <w:start w:val="82"/>
      <w:numFmt w:val="bullet"/>
      <w:lvlText w:val=""/>
      <w:lvlJc w:val="left"/>
      <w:pPr>
        <w:ind w:left="2100" w:hanging="360"/>
      </w:pPr>
      <w:rPr>
        <w:rFonts w:ascii="Symbol" w:eastAsia="Times New Roman" w:hAnsi="Symbol"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7" w15:restartNumberingAfterBreak="0">
    <w:nsid w:val="6C007E28"/>
    <w:multiLevelType w:val="multilevel"/>
    <w:tmpl w:val="7902B25C"/>
    <w:lvl w:ilvl="0">
      <w:start w:val="1993"/>
      <w:numFmt w:val="decimal"/>
      <w:lvlText w:val="%1"/>
      <w:lvlJc w:val="left"/>
      <w:pPr>
        <w:tabs>
          <w:tab w:val="num" w:pos="5040"/>
        </w:tabs>
        <w:ind w:left="5040" w:hanging="21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D9E1E97"/>
    <w:multiLevelType w:val="hybridMultilevel"/>
    <w:tmpl w:val="553A1898"/>
    <w:lvl w:ilvl="0" w:tplc="816ECABA">
      <w:start w:val="1994"/>
      <w:numFmt w:val="decimal"/>
      <w:lvlText w:val="%1"/>
      <w:lvlJc w:val="left"/>
      <w:pPr>
        <w:tabs>
          <w:tab w:val="num" w:pos="5130"/>
        </w:tabs>
        <w:ind w:left="5130" w:hanging="21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6F717EC3"/>
    <w:multiLevelType w:val="multilevel"/>
    <w:tmpl w:val="7902B25C"/>
    <w:lvl w:ilvl="0">
      <w:start w:val="1993"/>
      <w:numFmt w:val="decimal"/>
      <w:lvlText w:val="%1"/>
      <w:lvlJc w:val="left"/>
      <w:pPr>
        <w:tabs>
          <w:tab w:val="num" w:pos="5040"/>
        </w:tabs>
        <w:ind w:left="5040" w:hanging="21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BE3E44"/>
    <w:multiLevelType w:val="hybridMultilevel"/>
    <w:tmpl w:val="BDD04B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9"/>
  </w:num>
  <w:num w:numId="5">
    <w:abstractNumId w:val="7"/>
  </w:num>
  <w:num w:numId="6">
    <w:abstractNumId w:val="5"/>
  </w:num>
  <w:num w:numId="7">
    <w:abstractNumId w:val="2"/>
  </w:num>
  <w:num w:numId="8">
    <w:abstractNumId w:val="10"/>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Q2MjY0MDYzNTGyMLRU0lEKTi0uzszPAykwrwUACa4NeiwAAAA="/>
  </w:docVars>
  <w:rsids>
    <w:rsidRoot w:val="00231A55"/>
    <w:rsid w:val="00004DD7"/>
    <w:rsid w:val="00012461"/>
    <w:rsid w:val="000165A2"/>
    <w:rsid w:val="00017149"/>
    <w:rsid w:val="000207E8"/>
    <w:rsid w:val="00033672"/>
    <w:rsid w:val="00034198"/>
    <w:rsid w:val="00034C37"/>
    <w:rsid w:val="00035FB1"/>
    <w:rsid w:val="00036663"/>
    <w:rsid w:val="00036936"/>
    <w:rsid w:val="000374AA"/>
    <w:rsid w:val="00037E22"/>
    <w:rsid w:val="00040FA1"/>
    <w:rsid w:val="000410A1"/>
    <w:rsid w:val="0004159F"/>
    <w:rsid w:val="00044C36"/>
    <w:rsid w:val="00045DFD"/>
    <w:rsid w:val="00046C42"/>
    <w:rsid w:val="00052A6D"/>
    <w:rsid w:val="00053741"/>
    <w:rsid w:val="00053B95"/>
    <w:rsid w:val="000546C3"/>
    <w:rsid w:val="00055AAC"/>
    <w:rsid w:val="00056073"/>
    <w:rsid w:val="00056CC0"/>
    <w:rsid w:val="000576B6"/>
    <w:rsid w:val="00057F21"/>
    <w:rsid w:val="000601E3"/>
    <w:rsid w:val="0006077B"/>
    <w:rsid w:val="0006244E"/>
    <w:rsid w:val="00065E3D"/>
    <w:rsid w:val="00065E43"/>
    <w:rsid w:val="00065E45"/>
    <w:rsid w:val="0007061E"/>
    <w:rsid w:val="00071E6C"/>
    <w:rsid w:val="00072DC3"/>
    <w:rsid w:val="00074917"/>
    <w:rsid w:val="00077F1B"/>
    <w:rsid w:val="00081544"/>
    <w:rsid w:val="0008284D"/>
    <w:rsid w:val="000851D3"/>
    <w:rsid w:val="00085764"/>
    <w:rsid w:val="00085A1F"/>
    <w:rsid w:val="000876BD"/>
    <w:rsid w:val="00087C2C"/>
    <w:rsid w:val="00087ECA"/>
    <w:rsid w:val="00091629"/>
    <w:rsid w:val="000A4F8C"/>
    <w:rsid w:val="000A4FD6"/>
    <w:rsid w:val="000A52CC"/>
    <w:rsid w:val="000A7E74"/>
    <w:rsid w:val="000B1905"/>
    <w:rsid w:val="000B25D3"/>
    <w:rsid w:val="000B31B9"/>
    <w:rsid w:val="000B3C3B"/>
    <w:rsid w:val="000B4D64"/>
    <w:rsid w:val="000B4EC7"/>
    <w:rsid w:val="000B7DA4"/>
    <w:rsid w:val="000C0EBA"/>
    <w:rsid w:val="000C29B4"/>
    <w:rsid w:val="000C5D9C"/>
    <w:rsid w:val="000C789E"/>
    <w:rsid w:val="000C7A91"/>
    <w:rsid w:val="000D0F37"/>
    <w:rsid w:val="000D1702"/>
    <w:rsid w:val="000D180F"/>
    <w:rsid w:val="000D4AE8"/>
    <w:rsid w:val="000D4C95"/>
    <w:rsid w:val="000D4DF7"/>
    <w:rsid w:val="000D56C1"/>
    <w:rsid w:val="000E0092"/>
    <w:rsid w:val="000E2437"/>
    <w:rsid w:val="000E2592"/>
    <w:rsid w:val="000E47D9"/>
    <w:rsid w:val="000E6213"/>
    <w:rsid w:val="000E6420"/>
    <w:rsid w:val="000E6B37"/>
    <w:rsid w:val="000E7266"/>
    <w:rsid w:val="000E732A"/>
    <w:rsid w:val="000E7820"/>
    <w:rsid w:val="000F3E65"/>
    <w:rsid w:val="000F4282"/>
    <w:rsid w:val="000F5D1B"/>
    <w:rsid w:val="000F62AF"/>
    <w:rsid w:val="000F6462"/>
    <w:rsid w:val="000F74F8"/>
    <w:rsid w:val="001020CE"/>
    <w:rsid w:val="00103193"/>
    <w:rsid w:val="001060FA"/>
    <w:rsid w:val="001125C0"/>
    <w:rsid w:val="001148B5"/>
    <w:rsid w:val="001171A3"/>
    <w:rsid w:val="00117743"/>
    <w:rsid w:val="00122085"/>
    <w:rsid w:val="00130689"/>
    <w:rsid w:val="001308C3"/>
    <w:rsid w:val="00133BCA"/>
    <w:rsid w:val="00134BEF"/>
    <w:rsid w:val="001357DB"/>
    <w:rsid w:val="001357EC"/>
    <w:rsid w:val="001358D8"/>
    <w:rsid w:val="001370E6"/>
    <w:rsid w:val="00137BC9"/>
    <w:rsid w:val="001400A5"/>
    <w:rsid w:val="00140F13"/>
    <w:rsid w:val="00144053"/>
    <w:rsid w:val="00150FC1"/>
    <w:rsid w:val="00151A2E"/>
    <w:rsid w:val="001526EF"/>
    <w:rsid w:val="0015297F"/>
    <w:rsid w:val="0015329B"/>
    <w:rsid w:val="001532F8"/>
    <w:rsid w:val="001541CE"/>
    <w:rsid w:val="00157328"/>
    <w:rsid w:val="001578B1"/>
    <w:rsid w:val="00160820"/>
    <w:rsid w:val="00161898"/>
    <w:rsid w:val="0017052C"/>
    <w:rsid w:val="00170DA2"/>
    <w:rsid w:val="00172FA2"/>
    <w:rsid w:val="00176036"/>
    <w:rsid w:val="0018175F"/>
    <w:rsid w:val="00182650"/>
    <w:rsid w:val="001826D5"/>
    <w:rsid w:val="00182F28"/>
    <w:rsid w:val="00183E74"/>
    <w:rsid w:val="00187E3B"/>
    <w:rsid w:val="00192151"/>
    <w:rsid w:val="00193B12"/>
    <w:rsid w:val="0019457D"/>
    <w:rsid w:val="00196099"/>
    <w:rsid w:val="001964B6"/>
    <w:rsid w:val="001A0410"/>
    <w:rsid w:val="001A0B60"/>
    <w:rsid w:val="001A0D97"/>
    <w:rsid w:val="001A355B"/>
    <w:rsid w:val="001A4FE2"/>
    <w:rsid w:val="001A5ED3"/>
    <w:rsid w:val="001A78EA"/>
    <w:rsid w:val="001A7A15"/>
    <w:rsid w:val="001A7AC1"/>
    <w:rsid w:val="001B03C0"/>
    <w:rsid w:val="001B182D"/>
    <w:rsid w:val="001B1AF7"/>
    <w:rsid w:val="001B4510"/>
    <w:rsid w:val="001B72F6"/>
    <w:rsid w:val="001C1B9C"/>
    <w:rsid w:val="001C24D4"/>
    <w:rsid w:val="001C4946"/>
    <w:rsid w:val="001C65DD"/>
    <w:rsid w:val="001C66DF"/>
    <w:rsid w:val="001C717E"/>
    <w:rsid w:val="001D065B"/>
    <w:rsid w:val="001D08E4"/>
    <w:rsid w:val="001D1B6E"/>
    <w:rsid w:val="001E0B6E"/>
    <w:rsid w:val="001E1DE6"/>
    <w:rsid w:val="001E2339"/>
    <w:rsid w:val="001E5398"/>
    <w:rsid w:val="001F169B"/>
    <w:rsid w:val="001F2063"/>
    <w:rsid w:val="001F2937"/>
    <w:rsid w:val="001F3027"/>
    <w:rsid w:val="001F33BF"/>
    <w:rsid w:val="001F3CE0"/>
    <w:rsid w:val="001F3D5C"/>
    <w:rsid w:val="001F41F0"/>
    <w:rsid w:val="001F56E6"/>
    <w:rsid w:val="001F56E8"/>
    <w:rsid w:val="001F6FBF"/>
    <w:rsid w:val="001F7CE7"/>
    <w:rsid w:val="00200F7F"/>
    <w:rsid w:val="00203E62"/>
    <w:rsid w:val="00204E69"/>
    <w:rsid w:val="0020514A"/>
    <w:rsid w:val="0020708F"/>
    <w:rsid w:val="00210AE2"/>
    <w:rsid w:val="00211ADE"/>
    <w:rsid w:val="0021378B"/>
    <w:rsid w:val="002140B7"/>
    <w:rsid w:val="0021630E"/>
    <w:rsid w:val="00216E43"/>
    <w:rsid w:val="00217A16"/>
    <w:rsid w:val="002231C9"/>
    <w:rsid w:val="00224EAD"/>
    <w:rsid w:val="002274CE"/>
    <w:rsid w:val="00230688"/>
    <w:rsid w:val="00231A55"/>
    <w:rsid w:val="0023299A"/>
    <w:rsid w:val="002336E9"/>
    <w:rsid w:val="00234A30"/>
    <w:rsid w:val="002352D8"/>
    <w:rsid w:val="00235C80"/>
    <w:rsid w:val="00237ACA"/>
    <w:rsid w:val="002403A0"/>
    <w:rsid w:val="0024046D"/>
    <w:rsid w:val="0024294D"/>
    <w:rsid w:val="002432FD"/>
    <w:rsid w:val="00243BBF"/>
    <w:rsid w:val="00244590"/>
    <w:rsid w:val="00245F30"/>
    <w:rsid w:val="002475B4"/>
    <w:rsid w:val="0025149A"/>
    <w:rsid w:val="002519E9"/>
    <w:rsid w:val="00252121"/>
    <w:rsid w:val="00252992"/>
    <w:rsid w:val="00254134"/>
    <w:rsid w:val="00254444"/>
    <w:rsid w:val="002608CC"/>
    <w:rsid w:val="00260FBD"/>
    <w:rsid w:val="00262D4D"/>
    <w:rsid w:val="00262DCB"/>
    <w:rsid w:val="00265365"/>
    <w:rsid w:val="0026658A"/>
    <w:rsid w:val="0026663C"/>
    <w:rsid w:val="0026703F"/>
    <w:rsid w:val="00267603"/>
    <w:rsid w:val="002722F2"/>
    <w:rsid w:val="002725AE"/>
    <w:rsid w:val="00273766"/>
    <w:rsid w:val="00273C31"/>
    <w:rsid w:val="00273E7D"/>
    <w:rsid w:val="00274308"/>
    <w:rsid w:val="00274B16"/>
    <w:rsid w:val="00274F1E"/>
    <w:rsid w:val="00280490"/>
    <w:rsid w:val="002822A0"/>
    <w:rsid w:val="002837E0"/>
    <w:rsid w:val="0028611D"/>
    <w:rsid w:val="00290245"/>
    <w:rsid w:val="00290309"/>
    <w:rsid w:val="00291317"/>
    <w:rsid w:val="002932C3"/>
    <w:rsid w:val="00293875"/>
    <w:rsid w:val="002A1BA3"/>
    <w:rsid w:val="002A4B73"/>
    <w:rsid w:val="002B17FD"/>
    <w:rsid w:val="002B226D"/>
    <w:rsid w:val="002B2BB1"/>
    <w:rsid w:val="002B3540"/>
    <w:rsid w:val="002B3723"/>
    <w:rsid w:val="002B51B0"/>
    <w:rsid w:val="002B5ECA"/>
    <w:rsid w:val="002B7975"/>
    <w:rsid w:val="002C0C3E"/>
    <w:rsid w:val="002C195C"/>
    <w:rsid w:val="002C1A1B"/>
    <w:rsid w:val="002C404F"/>
    <w:rsid w:val="002C43B6"/>
    <w:rsid w:val="002C4F89"/>
    <w:rsid w:val="002D2B8C"/>
    <w:rsid w:val="002D307B"/>
    <w:rsid w:val="002D581B"/>
    <w:rsid w:val="002E164F"/>
    <w:rsid w:val="002E2BCB"/>
    <w:rsid w:val="002E772F"/>
    <w:rsid w:val="002E7B10"/>
    <w:rsid w:val="002F0854"/>
    <w:rsid w:val="002F2AE5"/>
    <w:rsid w:val="002F3A74"/>
    <w:rsid w:val="002F3E7F"/>
    <w:rsid w:val="002F5B53"/>
    <w:rsid w:val="0030085D"/>
    <w:rsid w:val="00302D73"/>
    <w:rsid w:val="00303256"/>
    <w:rsid w:val="00304386"/>
    <w:rsid w:val="00305379"/>
    <w:rsid w:val="00307E3A"/>
    <w:rsid w:val="003119E8"/>
    <w:rsid w:val="00311D7E"/>
    <w:rsid w:val="00312BD7"/>
    <w:rsid w:val="00314494"/>
    <w:rsid w:val="00314949"/>
    <w:rsid w:val="0031541A"/>
    <w:rsid w:val="003211F4"/>
    <w:rsid w:val="00322694"/>
    <w:rsid w:val="003250A1"/>
    <w:rsid w:val="00325EEE"/>
    <w:rsid w:val="00327871"/>
    <w:rsid w:val="00327D9E"/>
    <w:rsid w:val="00330FE3"/>
    <w:rsid w:val="0033146F"/>
    <w:rsid w:val="00331B6E"/>
    <w:rsid w:val="003324A3"/>
    <w:rsid w:val="003338AF"/>
    <w:rsid w:val="00334465"/>
    <w:rsid w:val="00335413"/>
    <w:rsid w:val="00336480"/>
    <w:rsid w:val="00336B2E"/>
    <w:rsid w:val="00337826"/>
    <w:rsid w:val="00337F0D"/>
    <w:rsid w:val="003420BE"/>
    <w:rsid w:val="0034320E"/>
    <w:rsid w:val="00343842"/>
    <w:rsid w:val="00343F32"/>
    <w:rsid w:val="003451B4"/>
    <w:rsid w:val="003462FC"/>
    <w:rsid w:val="00347E53"/>
    <w:rsid w:val="0035064C"/>
    <w:rsid w:val="00351A1A"/>
    <w:rsid w:val="00351AC2"/>
    <w:rsid w:val="0035461B"/>
    <w:rsid w:val="00354CC0"/>
    <w:rsid w:val="00355528"/>
    <w:rsid w:val="00355CB9"/>
    <w:rsid w:val="003570FD"/>
    <w:rsid w:val="00360581"/>
    <w:rsid w:val="0036234B"/>
    <w:rsid w:val="003667CF"/>
    <w:rsid w:val="0036747D"/>
    <w:rsid w:val="00367607"/>
    <w:rsid w:val="00370A5F"/>
    <w:rsid w:val="00371F24"/>
    <w:rsid w:val="00373B21"/>
    <w:rsid w:val="003750BF"/>
    <w:rsid w:val="00376C29"/>
    <w:rsid w:val="003813AE"/>
    <w:rsid w:val="00381526"/>
    <w:rsid w:val="0038169D"/>
    <w:rsid w:val="00381B87"/>
    <w:rsid w:val="00382B27"/>
    <w:rsid w:val="003844F0"/>
    <w:rsid w:val="003848C1"/>
    <w:rsid w:val="00385E2A"/>
    <w:rsid w:val="0038700B"/>
    <w:rsid w:val="003878F5"/>
    <w:rsid w:val="003907FC"/>
    <w:rsid w:val="00391E21"/>
    <w:rsid w:val="00393DF9"/>
    <w:rsid w:val="0039700E"/>
    <w:rsid w:val="0039783F"/>
    <w:rsid w:val="003A3F7A"/>
    <w:rsid w:val="003A728F"/>
    <w:rsid w:val="003A7B4B"/>
    <w:rsid w:val="003B07D1"/>
    <w:rsid w:val="003B23EC"/>
    <w:rsid w:val="003B3E70"/>
    <w:rsid w:val="003B5971"/>
    <w:rsid w:val="003B5A72"/>
    <w:rsid w:val="003B63F6"/>
    <w:rsid w:val="003B72F0"/>
    <w:rsid w:val="003B7E7C"/>
    <w:rsid w:val="003C01B4"/>
    <w:rsid w:val="003C0A9C"/>
    <w:rsid w:val="003C1519"/>
    <w:rsid w:val="003C26ED"/>
    <w:rsid w:val="003C2703"/>
    <w:rsid w:val="003C2F59"/>
    <w:rsid w:val="003C33AE"/>
    <w:rsid w:val="003C48EC"/>
    <w:rsid w:val="003C73F5"/>
    <w:rsid w:val="003D19B9"/>
    <w:rsid w:val="003D60FD"/>
    <w:rsid w:val="003D6D39"/>
    <w:rsid w:val="003E0BA0"/>
    <w:rsid w:val="003E2469"/>
    <w:rsid w:val="003F0866"/>
    <w:rsid w:val="003F0EB4"/>
    <w:rsid w:val="003F1BDF"/>
    <w:rsid w:val="003F22F9"/>
    <w:rsid w:val="003F4BAE"/>
    <w:rsid w:val="003F4CFB"/>
    <w:rsid w:val="003F610B"/>
    <w:rsid w:val="003F7E78"/>
    <w:rsid w:val="0040136A"/>
    <w:rsid w:val="00401A27"/>
    <w:rsid w:val="00402608"/>
    <w:rsid w:val="00403751"/>
    <w:rsid w:val="004056A4"/>
    <w:rsid w:val="00405915"/>
    <w:rsid w:val="00406CDA"/>
    <w:rsid w:val="004074BE"/>
    <w:rsid w:val="00412281"/>
    <w:rsid w:val="00412BFF"/>
    <w:rsid w:val="0041435D"/>
    <w:rsid w:val="004147CB"/>
    <w:rsid w:val="00414A88"/>
    <w:rsid w:val="00414AA3"/>
    <w:rsid w:val="00414BCC"/>
    <w:rsid w:val="00414C92"/>
    <w:rsid w:val="00415941"/>
    <w:rsid w:val="0041639E"/>
    <w:rsid w:val="00420E4C"/>
    <w:rsid w:val="004222F5"/>
    <w:rsid w:val="00422832"/>
    <w:rsid w:val="00422C7A"/>
    <w:rsid w:val="00430906"/>
    <w:rsid w:val="004311BC"/>
    <w:rsid w:val="004322A8"/>
    <w:rsid w:val="00432F6D"/>
    <w:rsid w:val="004342BE"/>
    <w:rsid w:val="004356F0"/>
    <w:rsid w:val="0043571A"/>
    <w:rsid w:val="004360F2"/>
    <w:rsid w:val="00440A47"/>
    <w:rsid w:val="00441005"/>
    <w:rsid w:val="00441D28"/>
    <w:rsid w:val="004420A8"/>
    <w:rsid w:val="00445853"/>
    <w:rsid w:val="0044673F"/>
    <w:rsid w:val="00447F02"/>
    <w:rsid w:val="00454911"/>
    <w:rsid w:val="00454E03"/>
    <w:rsid w:val="004550F2"/>
    <w:rsid w:val="004553AB"/>
    <w:rsid w:val="00456099"/>
    <w:rsid w:val="00456205"/>
    <w:rsid w:val="00460F17"/>
    <w:rsid w:val="0046243D"/>
    <w:rsid w:val="00462B92"/>
    <w:rsid w:val="004634FE"/>
    <w:rsid w:val="0046412E"/>
    <w:rsid w:val="00464D81"/>
    <w:rsid w:val="0046576F"/>
    <w:rsid w:val="00465BA4"/>
    <w:rsid w:val="00467144"/>
    <w:rsid w:val="004672D7"/>
    <w:rsid w:val="00467612"/>
    <w:rsid w:val="00470560"/>
    <w:rsid w:val="004706EF"/>
    <w:rsid w:val="0047092C"/>
    <w:rsid w:val="0047135A"/>
    <w:rsid w:val="00472044"/>
    <w:rsid w:val="0047269A"/>
    <w:rsid w:val="00472F2B"/>
    <w:rsid w:val="0047404C"/>
    <w:rsid w:val="004746EF"/>
    <w:rsid w:val="00477376"/>
    <w:rsid w:val="00480D4C"/>
    <w:rsid w:val="00482B81"/>
    <w:rsid w:val="004831F7"/>
    <w:rsid w:val="00483D0E"/>
    <w:rsid w:val="00485016"/>
    <w:rsid w:val="00492DDD"/>
    <w:rsid w:val="0049376D"/>
    <w:rsid w:val="00494675"/>
    <w:rsid w:val="00494F98"/>
    <w:rsid w:val="0049556F"/>
    <w:rsid w:val="004A070D"/>
    <w:rsid w:val="004A081D"/>
    <w:rsid w:val="004A18CC"/>
    <w:rsid w:val="004A4A46"/>
    <w:rsid w:val="004B3871"/>
    <w:rsid w:val="004B3F13"/>
    <w:rsid w:val="004B4C2B"/>
    <w:rsid w:val="004B5D91"/>
    <w:rsid w:val="004B62D1"/>
    <w:rsid w:val="004B6B89"/>
    <w:rsid w:val="004B7214"/>
    <w:rsid w:val="004B7D7F"/>
    <w:rsid w:val="004C1BF4"/>
    <w:rsid w:val="004C23EC"/>
    <w:rsid w:val="004C5200"/>
    <w:rsid w:val="004C6430"/>
    <w:rsid w:val="004D0A63"/>
    <w:rsid w:val="004D0B7F"/>
    <w:rsid w:val="004D1F33"/>
    <w:rsid w:val="004D262E"/>
    <w:rsid w:val="004D265F"/>
    <w:rsid w:val="004D3206"/>
    <w:rsid w:val="004D4E34"/>
    <w:rsid w:val="004D628F"/>
    <w:rsid w:val="004D737B"/>
    <w:rsid w:val="004E0729"/>
    <w:rsid w:val="004E1B4C"/>
    <w:rsid w:val="004E2BA0"/>
    <w:rsid w:val="004E3E1F"/>
    <w:rsid w:val="004E6A86"/>
    <w:rsid w:val="004F091E"/>
    <w:rsid w:val="004F0A1B"/>
    <w:rsid w:val="004F0E6A"/>
    <w:rsid w:val="004F2D96"/>
    <w:rsid w:val="004F3130"/>
    <w:rsid w:val="004F3FD4"/>
    <w:rsid w:val="004F5465"/>
    <w:rsid w:val="004F54F0"/>
    <w:rsid w:val="004F5B83"/>
    <w:rsid w:val="004F72CE"/>
    <w:rsid w:val="004F7760"/>
    <w:rsid w:val="004F7CFB"/>
    <w:rsid w:val="00505F1A"/>
    <w:rsid w:val="005103A0"/>
    <w:rsid w:val="00510F26"/>
    <w:rsid w:val="00514B59"/>
    <w:rsid w:val="0051548F"/>
    <w:rsid w:val="005162FD"/>
    <w:rsid w:val="0051719E"/>
    <w:rsid w:val="005207C5"/>
    <w:rsid w:val="00523C50"/>
    <w:rsid w:val="00523E50"/>
    <w:rsid w:val="005272B6"/>
    <w:rsid w:val="00530B93"/>
    <w:rsid w:val="0053149E"/>
    <w:rsid w:val="00531C36"/>
    <w:rsid w:val="005338C6"/>
    <w:rsid w:val="00533DA8"/>
    <w:rsid w:val="00534153"/>
    <w:rsid w:val="005377B4"/>
    <w:rsid w:val="00540177"/>
    <w:rsid w:val="00540615"/>
    <w:rsid w:val="00540A6C"/>
    <w:rsid w:val="005413B0"/>
    <w:rsid w:val="00542427"/>
    <w:rsid w:val="00543514"/>
    <w:rsid w:val="00543A61"/>
    <w:rsid w:val="00545E19"/>
    <w:rsid w:val="00545E79"/>
    <w:rsid w:val="005463B3"/>
    <w:rsid w:val="00550E19"/>
    <w:rsid w:val="00551E24"/>
    <w:rsid w:val="005551B0"/>
    <w:rsid w:val="005568DE"/>
    <w:rsid w:val="0056199A"/>
    <w:rsid w:val="0057063F"/>
    <w:rsid w:val="00575548"/>
    <w:rsid w:val="005771FA"/>
    <w:rsid w:val="00577EAF"/>
    <w:rsid w:val="005805C1"/>
    <w:rsid w:val="00581F65"/>
    <w:rsid w:val="00582584"/>
    <w:rsid w:val="005835DD"/>
    <w:rsid w:val="0059040C"/>
    <w:rsid w:val="0059276D"/>
    <w:rsid w:val="00595A05"/>
    <w:rsid w:val="00596162"/>
    <w:rsid w:val="005A214F"/>
    <w:rsid w:val="005A4714"/>
    <w:rsid w:val="005A4CB8"/>
    <w:rsid w:val="005A6AF0"/>
    <w:rsid w:val="005B0501"/>
    <w:rsid w:val="005B05EA"/>
    <w:rsid w:val="005B20F1"/>
    <w:rsid w:val="005B2463"/>
    <w:rsid w:val="005B2CC7"/>
    <w:rsid w:val="005B3889"/>
    <w:rsid w:val="005B7273"/>
    <w:rsid w:val="005C238E"/>
    <w:rsid w:val="005C2C06"/>
    <w:rsid w:val="005C3D66"/>
    <w:rsid w:val="005C3FA0"/>
    <w:rsid w:val="005C55C6"/>
    <w:rsid w:val="005C612F"/>
    <w:rsid w:val="005C7206"/>
    <w:rsid w:val="005D323E"/>
    <w:rsid w:val="005D4D99"/>
    <w:rsid w:val="005E1F1C"/>
    <w:rsid w:val="005E2052"/>
    <w:rsid w:val="005E686A"/>
    <w:rsid w:val="005F0C5F"/>
    <w:rsid w:val="005F21BC"/>
    <w:rsid w:val="005F2D03"/>
    <w:rsid w:val="005F42B5"/>
    <w:rsid w:val="005F6527"/>
    <w:rsid w:val="005F78AE"/>
    <w:rsid w:val="005F7DDF"/>
    <w:rsid w:val="00600BD9"/>
    <w:rsid w:val="00601432"/>
    <w:rsid w:val="00601E1C"/>
    <w:rsid w:val="0060689C"/>
    <w:rsid w:val="00606E8E"/>
    <w:rsid w:val="00607B27"/>
    <w:rsid w:val="006116BC"/>
    <w:rsid w:val="00613167"/>
    <w:rsid w:val="00616053"/>
    <w:rsid w:val="006169AD"/>
    <w:rsid w:val="00620632"/>
    <w:rsid w:val="00622D7A"/>
    <w:rsid w:val="006230CD"/>
    <w:rsid w:val="00624370"/>
    <w:rsid w:val="00625DCC"/>
    <w:rsid w:val="00630DAB"/>
    <w:rsid w:val="00631EAF"/>
    <w:rsid w:val="00631ED8"/>
    <w:rsid w:val="00636563"/>
    <w:rsid w:val="0064006D"/>
    <w:rsid w:val="0064357D"/>
    <w:rsid w:val="00644884"/>
    <w:rsid w:val="00646142"/>
    <w:rsid w:val="00652086"/>
    <w:rsid w:val="006529AB"/>
    <w:rsid w:val="00652BF1"/>
    <w:rsid w:val="006536CE"/>
    <w:rsid w:val="0065653B"/>
    <w:rsid w:val="00657E04"/>
    <w:rsid w:val="00661685"/>
    <w:rsid w:val="0066450F"/>
    <w:rsid w:val="00665553"/>
    <w:rsid w:val="00667235"/>
    <w:rsid w:val="006737F1"/>
    <w:rsid w:val="00674053"/>
    <w:rsid w:val="00674D00"/>
    <w:rsid w:val="00676103"/>
    <w:rsid w:val="00676EC4"/>
    <w:rsid w:val="00680A74"/>
    <w:rsid w:val="00682618"/>
    <w:rsid w:val="006828AB"/>
    <w:rsid w:val="00684572"/>
    <w:rsid w:val="00687AE0"/>
    <w:rsid w:val="006902A4"/>
    <w:rsid w:val="006914B1"/>
    <w:rsid w:val="006922D7"/>
    <w:rsid w:val="00692417"/>
    <w:rsid w:val="006926CE"/>
    <w:rsid w:val="006A0604"/>
    <w:rsid w:val="006A09E8"/>
    <w:rsid w:val="006A0AD0"/>
    <w:rsid w:val="006A0C58"/>
    <w:rsid w:val="006A4735"/>
    <w:rsid w:val="006A5FE8"/>
    <w:rsid w:val="006A7540"/>
    <w:rsid w:val="006A781E"/>
    <w:rsid w:val="006B006D"/>
    <w:rsid w:val="006B0777"/>
    <w:rsid w:val="006B0A81"/>
    <w:rsid w:val="006B0EBA"/>
    <w:rsid w:val="006B2B55"/>
    <w:rsid w:val="006B3759"/>
    <w:rsid w:val="006B7BDF"/>
    <w:rsid w:val="006C0AE8"/>
    <w:rsid w:val="006C0CF7"/>
    <w:rsid w:val="006C1282"/>
    <w:rsid w:val="006C61FF"/>
    <w:rsid w:val="006D1F66"/>
    <w:rsid w:val="006D2B1F"/>
    <w:rsid w:val="006D36A1"/>
    <w:rsid w:val="006D36CA"/>
    <w:rsid w:val="006D48C3"/>
    <w:rsid w:val="006D4A19"/>
    <w:rsid w:val="006D72AA"/>
    <w:rsid w:val="006E1E8E"/>
    <w:rsid w:val="006E2545"/>
    <w:rsid w:val="006E25BA"/>
    <w:rsid w:val="006E511C"/>
    <w:rsid w:val="006E5C2C"/>
    <w:rsid w:val="006E64CC"/>
    <w:rsid w:val="006E7055"/>
    <w:rsid w:val="006E73F0"/>
    <w:rsid w:val="006F06BE"/>
    <w:rsid w:val="006F291D"/>
    <w:rsid w:val="006F2B62"/>
    <w:rsid w:val="006F3283"/>
    <w:rsid w:val="006F4C7A"/>
    <w:rsid w:val="0070012E"/>
    <w:rsid w:val="00700CB2"/>
    <w:rsid w:val="007011F3"/>
    <w:rsid w:val="00703E31"/>
    <w:rsid w:val="00715A11"/>
    <w:rsid w:val="0071705B"/>
    <w:rsid w:val="00717F81"/>
    <w:rsid w:val="00720053"/>
    <w:rsid w:val="00720590"/>
    <w:rsid w:val="00721FDF"/>
    <w:rsid w:val="007226A7"/>
    <w:rsid w:val="0072308D"/>
    <w:rsid w:val="00723899"/>
    <w:rsid w:val="00724109"/>
    <w:rsid w:val="0072509D"/>
    <w:rsid w:val="0072786C"/>
    <w:rsid w:val="00727FB6"/>
    <w:rsid w:val="0073045B"/>
    <w:rsid w:val="007309B1"/>
    <w:rsid w:val="007332FD"/>
    <w:rsid w:val="007379A9"/>
    <w:rsid w:val="00737F9E"/>
    <w:rsid w:val="00740491"/>
    <w:rsid w:val="00740DBD"/>
    <w:rsid w:val="0074206F"/>
    <w:rsid w:val="00743A47"/>
    <w:rsid w:val="00743BF3"/>
    <w:rsid w:val="00744799"/>
    <w:rsid w:val="00745B7A"/>
    <w:rsid w:val="00745B9C"/>
    <w:rsid w:val="00754529"/>
    <w:rsid w:val="00754FBF"/>
    <w:rsid w:val="007600DB"/>
    <w:rsid w:val="00760390"/>
    <w:rsid w:val="007609DD"/>
    <w:rsid w:val="00760D70"/>
    <w:rsid w:val="0076271E"/>
    <w:rsid w:val="007631EE"/>
    <w:rsid w:val="00764C96"/>
    <w:rsid w:val="00776B86"/>
    <w:rsid w:val="00777B2D"/>
    <w:rsid w:val="00784CF2"/>
    <w:rsid w:val="0078557A"/>
    <w:rsid w:val="00785C85"/>
    <w:rsid w:val="00787E72"/>
    <w:rsid w:val="00790BB7"/>
    <w:rsid w:val="00791B2C"/>
    <w:rsid w:val="00792B2B"/>
    <w:rsid w:val="00792D93"/>
    <w:rsid w:val="00794539"/>
    <w:rsid w:val="007968FE"/>
    <w:rsid w:val="007A409C"/>
    <w:rsid w:val="007A4A7D"/>
    <w:rsid w:val="007A597E"/>
    <w:rsid w:val="007A5C55"/>
    <w:rsid w:val="007A6B95"/>
    <w:rsid w:val="007A6D8C"/>
    <w:rsid w:val="007B4568"/>
    <w:rsid w:val="007B5515"/>
    <w:rsid w:val="007B697E"/>
    <w:rsid w:val="007B7211"/>
    <w:rsid w:val="007B7F50"/>
    <w:rsid w:val="007C0B33"/>
    <w:rsid w:val="007C1E79"/>
    <w:rsid w:val="007C33F4"/>
    <w:rsid w:val="007C730D"/>
    <w:rsid w:val="007C7694"/>
    <w:rsid w:val="007C7F91"/>
    <w:rsid w:val="007D578B"/>
    <w:rsid w:val="007D5E23"/>
    <w:rsid w:val="007D76AA"/>
    <w:rsid w:val="007E079D"/>
    <w:rsid w:val="007E249D"/>
    <w:rsid w:val="007E35C9"/>
    <w:rsid w:val="007E4767"/>
    <w:rsid w:val="007E5606"/>
    <w:rsid w:val="007E59DA"/>
    <w:rsid w:val="007E7763"/>
    <w:rsid w:val="007F228B"/>
    <w:rsid w:val="007F5215"/>
    <w:rsid w:val="007F5FA2"/>
    <w:rsid w:val="00800915"/>
    <w:rsid w:val="0080147F"/>
    <w:rsid w:val="00802128"/>
    <w:rsid w:val="00806950"/>
    <w:rsid w:val="008077EC"/>
    <w:rsid w:val="008104C8"/>
    <w:rsid w:val="0081522E"/>
    <w:rsid w:val="00815364"/>
    <w:rsid w:val="008156F2"/>
    <w:rsid w:val="008208C9"/>
    <w:rsid w:val="00822068"/>
    <w:rsid w:val="0082554F"/>
    <w:rsid w:val="0082568E"/>
    <w:rsid w:val="0082585B"/>
    <w:rsid w:val="00825D9E"/>
    <w:rsid w:val="00826AE1"/>
    <w:rsid w:val="00831BF6"/>
    <w:rsid w:val="00831D14"/>
    <w:rsid w:val="00835761"/>
    <w:rsid w:val="00835958"/>
    <w:rsid w:val="00837E20"/>
    <w:rsid w:val="00840B90"/>
    <w:rsid w:val="00843233"/>
    <w:rsid w:val="00844738"/>
    <w:rsid w:val="00844CC1"/>
    <w:rsid w:val="0084566F"/>
    <w:rsid w:val="00845C66"/>
    <w:rsid w:val="00846903"/>
    <w:rsid w:val="00847601"/>
    <w:rsid w:val="008478C3"/>
    <w:rsid w:val="00851416"/>
    <w:rsid w:val="008533D0"/>
    <w:rsid w:val="00855471"/>
    <w:rsid w:val="00856316"/>
    <w:rsid w:val="0085693D"/>
    <w:rsid w:val="00857CC1"/>
    <w:rsid w:val="00861477"/>
    <w:rsid w:val="00861B82"/>
    <w:rsid w:val="008649AA"/>
    <w:rsid w:val="00867D9A"/>
    <w:rsid w:val="00867FD2"/>
    <w:rsid w:val="0087653D"/>
    <w:rsid w:val="00877D2E"/>
    <w:rsid w:val="00880265"/>
    <w:rsid w:val="008847B5"/>
    <w:rsid w:val="00886BCF"/>
    <w:rsid w:val="00887D90"/>
    <w:rsid w:val="00895AE8"/>
    <w:rsid w:val="00895F11"/>
    <w:rsid w:val="0089623C"/>
    <w:rsid w:val="0089637D"/>
    <w:rsid w:val="008967D0"/>
    <w:rsid w:val="00897F7B"/>
    <w:rsid w:val="008A2B87"/>
    <w:rsid w:val="008A326A"/>
    <w:rsid w:val="008A400C"/>
    <w:rsid w:val="008A4D91"/>
    <w:rsid w:val="008A55C9"/>
    <w:rsid w:val="008A5E75"/>
    <w:rsid w:val="008A61C7"/>
    <w:rsid w:val="008A66F4"/>
    <w:rsid w:val="008A70D7"/>
    <w:rsid w:val="008B1BEE"/>
    <w:rsid w:val="008B2242"/>
    <w:rsid w:val="008B36DC"/>
    <w:rsid w:val="008B44C2"/>
    <w:rsid w:val="008B64FC"/>
    <w:rsid w:val="008B66AA"/>
    <w:rsid w:val="008B7332"/>
    <w:rsid w:val="008C1342"/>
    <w:rsid w:val="008C3225"/>
    <w:rsid w:val="008C612A"/>
    <w:rsid w:val="008C7DDA"/>
    <w:rsid w:val="008D01AD"/>
    <w:rsid w:val="008D01EC"/>
    <w:rsid w:val="008D0667"/>
    <w:rsid w:val="008D3587"/>
    <w:rsid w:val="008D424D"/>
    <w:rsid w:val="008D4A9E"/>
    <w:rsid w:val="008D4F2A"/>
    <w:rsid w:val="008D5593"/>
    <w:rsid w:val="008D6FAD"/>
    <w:rsid w:val="008E1D49"/>
    <w:rsid w:val="008E3399"/>
    <w:rsid w:val="008E452D"/>
    <w:rsid w:val="008E4629"/>
    <w:rsid w:val="008F3494"/>
    <w:rsid w:val="008F4444"/>
    <w:rsid w:val="008F65A5"/>
    <w:rsid w:val="008F7F1B"/>
    <w:rsid w:val="009039C3"/>
    <w:rsid w:val="00904896"/>
    <w:rsid w:val="00904EF5"/>
    <w:rsid w:val="009071C1"/>
    <w:rsid w:val="00907B1F"/>
    <w:rsid w:val="00911DEC"/>
    <w:rsid w:val="009139F4"/>
    <w:rsid w:val="009165CA"/>
    <w:rsid w:val="00917107"/>
    <w:rsid w:val="00917E57"/>
    <w:rsid w:val="0092078D"/>
    <w:rsid w:val="00921101"/>
    <w:rsid w:val="009216DC"/>
    <w:rsid w:val="00922844"/>
    <w:rsid w:val="009236E3"/>
    <w:rsid w:val="0093038A"/>
    <w:rsid w:val="009305BA"/>
    <w:rsid w:val="0093107C"/>
    <w:rsid w:val="00931747"/>
    <w:rsid w:val="00932D93"/>
    <w:rsid w:val="00933638"/>
    <w:rsid w:val="009341AA"/>
    <w:rsid w:val="00934970"/>
    <w:rsid w:val="00936A21"/>
    <w:rsid w:val="0094209A"/>
    <w:rsid w:val="009424CA"/>
    <w:rsid w:val="00943A45"/>
    <w:rsid w:val="00943CF7"/>
    <w:rsid w:val="009464FF"/>
    <w:rsid w:val="00950915"/>
    <w:rsid w:val="00950EEA"/>
    <w:rsid w:val="009566C9"/>
    <w:rsid w:val="009579C8"/>
    <w:rsid w:val="00960A55"/>
    <w:rsid w:val="009614AE"/>
    <w:rsid w:val="009623A7"/>
    <w:rsid w:val="00964341"/>
    <w:rsid w:val="00964468"/>
    <w:rsid w:val="00964CC6"/>
    <w:rsid w:val="009678AD"/>
    <w:rsid w:val="00974439"/>
    <w:rsid w:val="0097514B"/>
    <w:rsid w:val="0097579F"/>
    <w:rsid w:val="00975B1F"/>
    <w:rsid w:val="00975DA9"/>
    <w:rsid w:val="0097635C"/>
    <w:rsid w:val="009768F1"/>
    <w:rsid w:val="009823DF"/>
    <w:rsid w:val="0098379D"/>
    <w:rsid w:val="00983DDA"/>
    <w:rsid w:val="00993A40"/>
    <w:rsid w:val="009945C9"/>
    <w:rsid w:val="00994AB5"/>
    <w:rsid w:val="00996083"/>
    <w:rsid w:val="00996447"/>
    <w:rsid w:val="009A0CAF"/>
    <w:rsid w:val="009A2736"/>
    <w:rsid w:val="009A274F"/>
    <w:rsid w:val="009A376F"/>
    <w:rsid w:val="009A5B30"/>
    <w:rsid w:val="009A5DC6"/>
    <w:rsid w:val="009A64C4"/>
    <w:rsid w:val="009A65DF"/>
    <w:rsid w:val="009B2BF8"/>
    <w:rsid w:val="009B3222"/>
    <w:rsid w:val="009B46FA"/>
    <w:rsid w:val="009B6517"/>
    <w:rsid w:val="009C0576"/>
    <w:rsid w:val="009C0BD7"/>
    <w:rsid w:val="009C3941"/>
    <w:rsid w:val="009C4685"/>
    <w:rsid w:val="009C6DBD"/>
    <w:rsid w:val="009C7120"/>
    <w:rsid w:val="009C7A60"/>
    <w:rsid w:val="009D08B8"/>
    <w:rsid w:val="009D4F47"/>
    <w:rsid w:val="009D5D11"/>
    <w:rsid w:val="009E1C70"/>
    <w:rsid w:val="009E26D4"/>
    <w:rsid w:val="009E3262"/>
    <w:rsid w:val="009E33DA"/>
    <w:rsid w:val="009E510E"/>
    <w:rsid w:val="009E5178"/>
    <w:rsid w:val="009E5840"/>
    <w:rsid w:val="009F5D86"/>
    <w:rsid w:val="00A009CA"/>
    <w:rsid w:val="00A01DB8"/>
    <w:rsid w:val="00A02D90"/>
    <w:rsid w:val="00A127E6"/>
    <w:rsid w:val="00A143A7"/>
    <w:rsid w:val="00A14E66"/>
    <w:rsid w:val="00A15E48"/>
    <w:rsid w:val="00A166B5"/>
    <w:rsid w:val="00A16D87"/>
    <w:rsid w:val="00A1714F"/>
    <w:rsid w:val="00A171A5"/>
    <w:rsid w:val="00A20744"/>
    <w:rsid w:val="00A20C4C"/>
    <w:rsid w:val="00A21A1C"/>
    <w:rsid w:val="00A245BF"/>
    <w:rsid w:val="00A266D1"/>
    <w:rsid w:val="00A26813"/>
    <w:rsid w:val="00A26944"/>
    <w:rsid w:val="00A279C8"/>
    <w:rsid w:val="00A3263E"/>
    <w:rsid w:val="00A366CB"/>
    <w:rsid w:val="00A40A42"/>
    <w:rsid w:val="00A41A68"/>
    <w:rsid w:val="00A420E3"/>
    <w:rsid w:val="00A443A4"/>
    <w:rsid w:val="00A46289"/>
    <w:rsid w:val="00A47C65"/>
    <w:rsid w:val="00A501F9"/>
    <w:rsid w:val="00A5131E"/>
    <w:rsid w:val="00A51FB7"/>
    <w:rsid w:val="00A53D62"/>
    <w:rsid w:val="00A55767"/>
    <w:rsid w:val="00A61E7D"/>
    <w:rsid w:val="00A61F62"/>
    <w:rsid w:val="00A621C1"/>
    <w:rsid w:val="00A64D56"/>
    <w:rsid w:val="00A701EF"/>
    <w:rsid w:val="00A71031"/>
    <w:rsid w:val="00A72A16"/>
    <w:rsid w:val="00A733FD"/>
    <w:rsid w:val="00A7356E"/>
    <w:rsid w:val="00A85398"/>
    <w:rsid w:val="00A91AD2"/>
    <w:rsid w:val="00AA1B5D"/>
    <w:rsid w:val="00AA7D91"/>
    <w:rsid w:val="00AA7F76"/>
    <w:rsid w:val="00AB0CDC"/>
    <w:rsid w:val="00AB2BD3"/>
    <w:rsid w:val="00AB3960"/>
    <w:rsid w:val="00AB4146"/>
    <w:rsid w:val="00AC0BFB"/>
    <w:rsid w:val="00AC0CAD"/>
    <w:rsid w:val="00AC21A4"/>
    <w:rsid w:val="00AC382B"/>
    <w:rsid w:val="00AC4341"/>
    <w:rsid w:val="00AC5BC8"/>
    <w:rsid w:val="00AC65B6"/>
    <w:rsid w:val="00AC76D7"/>
    <w:rsid w:val="00AD0A81"/>
    <w:rsid w:val="00AD0C0B"/>
    <w:rsid w:val="00AD177D"/>
    <w:rsid w:val="00AD52A7"/>
    <w:rsid w:val="00AD5C93"/>
    <w:rsid w:val="00AD6117"/>
    <w:rsid w:val="00AD62E0"/>
    <w:rsid w:val="00AE09E6"/>
    <w:rsid w:val="00AE4787"/>
    <w:rsid w:val="00AF0BE7"/>
    <w:rsid w:val="00AF2670"/>
    <w:rsid w:val="00AF2889"/>
    <w:rsid w:val="00AF3949"/>
    <w:rsid w:val="00AF5086"/>
    <w:rsid w:val="00B00FBF"/>
    <w:rsid w:val="00B01F31"/>
    <w:rsid w:val="00B022D9"/>
    <w:rsid w:val="00B03858"/>
    <w:rsid w:val="00B03924"/>
    <w:rsid w:val="00B05933"/>
    <w:rsid w:val="00B061EF"/>
    <w:rsid w:val="00B0706F"/>
    <w:rsid w:val="00B07370"/>
    <w:rsid w:val="00B07440"/>
    <w:rsid w:val="00B12E4D"/>
    <w:rsid w:val="00B12F71"/>
    <w:rsid w:val="00B13355"/>
    <w:rsid w:val="00B13984"/>
    <w:rsid w:val="00B15E00"/>
    <w:rsid w:val="00B1776C"/>
    <w:rsid w:val="00B205C4"/>
    <w:rsid w:val="00B22974"/>
    <w:rsid w:val="00B2298B"/>
    <w:rsid w:val="00B23050"/>
    <w:rsid w:val="00B32FD0"/>
    <w:rsid w:val="00B335E8"/>
    <w:rsid w:val="00B361E2"/>
    <w:rsid w:val="00B37448"/>
    <w:rsid w:val="00B37B49"/>
    <w:rsid w:val="00B4029E"/>
    <w:rsid w:val="00B4354D"/>
    <w:rsid w:val="00B438BD"/>
    <w:rsid w:val="00B44448"/>
    <w:rsid w:val="00B44538"/>
    <w:rsid w:val="00B458CB"/>
    <w:rsid w:val="00B45D38"/>
    <w:rsid w:val="00B470D8"/>
    <w:rsid w:val="00B472A2"/>
    <w:rsid w:val="00B5027E"/>
    <w:rsid w:val="00B50F3B"/>
    <w:rsid w:val="00B52E32"/>
    <w:rsid w:val="00B60C35"/>
    <w:rsid w:val="00B60C70"/>
    <w:rsid w:val="00B62290"/>
    <w:rsid w:val="00B62CA0"/>
    <w:rsid w:val="00B62D40"/>
    <w:rsid w:val="00B64BED"/>
    <w:rsid w:val="00B64F71"/>
    <w:rsid w:val="00B71D0C"/>
    <w:rsid w:val="00B72011"/>
    <w:rsid w:val="00B724E3"/>
    <w:rsid w:val="00B72787"/>
    <w:rsid w:val="00B73E34"/>
    <w:rsid w:val="00B76EA5"/>
    <w:rsid w:val="00B7702A"/>
    <w:rsid w:val="00B77902"/>
    <w:rsid w:val="00B813E0"/>
    <w:rsid w:val="00B81641"/>
    <w:rsid w:val="00B8168B"/>
    <w:rsid w:val="00B822BC"/>
    <w:rsid w:val="00B83118"/>
    <w:rsid w:val="00B845C7"/>
    <w:rsid w:val="00B85F4B"/>
    <w:rsid w:val="00B86522"/>
    <w:rsid w:val="00B879C9"/>
    <w:rsid w:val="00B90C91"/>
    <w:rsid w:val="00B91CD8"/>
    <w:rsid w:val="00B94083"/>
    <w:rsid w:val="00B946D9"/>
    <w:rsid w:val="00B966BE"/>
    <w:rsid w:val="00B96E5F"/>
    <w:rsid w:val="00B97282"/>
    <w:rsid w:val="00BA0162"/>
    <w:rsid w:val="00BA1E5C"/>
    <w:rsid w:val="00BA3107"/>
    <w:rsid w:val="00BA3E67"/>
    <w:rsid w:val="00BA6679"/>
    <w:rsid w:val="00BA6FB5"/>
    <w:rsid w:val="00BB2CC9"/>
    <w:rsid w:val="00BB3B3C"/>
    <w:rsid w:val="00BB6A72"/>
    <w:rsid w:val="00BB6ED0"/>
    <w:rsid w:val="00BC0C57"/>
    <w:rsid w:val="00BC475D"/>
    <w:rsid w:val="00BC4E39"/>
    <w:rsid w:val="00BD01BD"/>
    <w:rsid w:val="00BD247F"/>
    <w:rsid w:val="00BD2F6D"/>
    <w:rsid w:val="00BD6FB2"/>
    <w:rsid w:val="00BE202C"/>
    <w:rsid w:val="00BE21A2"/>
    <w:rsid w:val="00BE2C5D"/>
    <w:rsid w:val="00BE2CF4"/>
    <w:rsid w:val="00BE34F5"/>
    <w:rsid w:val="00BE4A0C"/>
    <w:rsid w:val="00BE4FEF"/>
    <w:rsid w:val="00BE54E6"/>
    <w:rsid w:val="00BF2CB4"/>
    <w:rsid w:val="00BF34E3"/>
    <w:rsid w:val="00BF6EA7"/>
    <w:rsid w:val="00C00FF2"/>
    <w:rsid w:val="00C03685"/>
    <w:rsid w:val="00C03D4F"/>
    <w:rsid w:val="00C06683"/>
    <w:rsid w:val="00C10FD5"/>
    <w:rsid w:val="00C128E0"/>
    <w:rsid w:val="00C1369C"/>
    <w:rsid w:val="00C14729"/>
    <w:rsid w:val="00C21F97"/>
    <w:rsid w:val="00C22965"/>
    <w:rsid w:val="00C229AA"/>
    <w:rsid w:val="00C24428"/>
    <w:rsid w:val="00C25767"/>
    <w:rsid w:val="00C3299B"/>
    <w:rsid w:val="00C32FE4"/>
    <w:rsid w:val="00C336CF"/>
    <w:rsid w:val="00C355DA"/>
    <w:rsid w:val="00C3571B"/>
    <w:rsid w:val="00C369A5"/>
    <w:rsid w:val="00C369D1"/>
    <w:rsid w:val="00C40233"/>
    <w:rsid w:val="00C40787"/>
    <w:rsid w:val="00C41926"/>
    <w:rsid w:val="00C42181"/>
    <w:rsid w:val="00C44049"/>
    <w:rsid w:val="00C4422E"/>
    <w:rsid w:val="00C442A3"/>
    <w:rsid w:val="00C45EA0"/>
    <w:rsid w:val="00C4769E"/>
    <w:rsid w:val="00C51198"/>
    <w:rsid w:val="00C52E77"/>
    <w:rsid w:val="00C536C7"/>
    <w:rsid w:val="00C5567A"/>
    <w:rsid w:val="00C55E95"/>
    <w:rsid w:val="00C6146E"/>
    <w:rsid w:val="00C6254F"/>
    <w:rsid w:val="00C632E8"/>
    <w:rsid w:val="00C674FF"/>
    <w:rsid w:val="00C67EF1"/>
    <w:rsid w:val="00C711C7"/>
    <w:rsid w:val="00C71B3A"/>
    <w:rsid w:val="00C72372"/>
    <w:rsid w:val="00C740D4"/>
    <w:rsid w:val="00C749F2"/>
    <w:rsid w:val="00C74E21"/>
    <w:rsid w:val="00C76701"/>
    <w:rsid w:val="00C8020A"/>
    <w:rsid w:val="00C8163E"/>
    <w:rsid w:val="00C81DE8"/>
    <w:rsid w:val="00C835B3"/>
    <w:rsid w:val="00C83A6F"/>
    <w:rsid w:val="00C8711D"/>
    <w:rsid w:val="00C9048D"/>
    <w:rsid w:val="00C91435"/>
    <w:rsid w:val="00C91CB6"/>
    <w:rsid w:val="00C93412"/>
    <w:rsid w:val="00C93474"/>
    <w:rsid w:val="00CA0354"/>
    <w:rsid w:val="00CA0D67"/>
    <w:rsid w:val="00CA161E"/>
    <w:rsid w:val="00CA26C0"/>
    <w:rsid w:val="00CA2DE8"/>
    <w:rsid w:val="00CA3471"/>
    <w:rsid w:val="00CA4EEF"/>
    <w:rsid w:val="00CA67EB"/>
    <w:rsid w:val="00CA6A84"/>
    <w:rsid w:val="00CB0D01"/>
    <w:rsid w:val="00CB1470"/>
    <w:rsid w:val="00CB4F51"/>
    <w:rsid w:val="00CB5865"/>
    <w:rsid w:val="00CB75D3"/>
    <w:rsid w:val="00CC0E23"/>
    <w:rsid w:val="00CC1AF4"/>
    <w:rsid w:val="00CC1E62"/>
    <w:rsid w:val="00CC2C9F"/>
    <w:rsid w:val="00CC5417"/>
    <w:rsid w:val="00CC71C6"/>
    <w:rsid w:val="00CC7AD0"/>
    <w:rsid w:val="00CD05A8"/>
    <w:rsid w:val="00CD09F2"/>
    <w:rsid w:val="00CD5A36"/>
    <w:rsid w:val="00CD7106"/>
    <w:rsid w:val="00CD7600"/>
    <w:rsid w:val="00CD7CDA"/>
    <w:rsid w:val="00CE1B2A"/>
    <w:rsid w:val="00CE2D49"/>
    <w:rsid w:val="00CE5708"/>
    <w:rsid w:val="00CF1965"/>
    <w:rsid w:val="00CF4189"/>
    <w:rsid w:val="00CF5481"/>
    <w:rsid w:val="00CF688A"/>
    <w:rsid w:val="00CF7455"/>
    <w:rsid w:val="00CF77D7"/>
    <w:rsid w:val="00CF7A07"/>
    <w:rsid w:val="00D0087C"/>
    <w:rsid w:val="00D0098D"/>
    <w:rsid w:val="00D043F5"/>
    <w:rsid w:val="00D11119"/>
    <w:rsid w:val="00D115FB"/>
    <w:rsid w:val="00D14D52"/>
    <w:rsid w:val="00D17165"/>
    <w:rsid w:val="00D218CA"/>
    <w:rsid w:val="00D21E2B"/>
    <w:rsid w:val="00D270CC"/>
    <w:rsid w:val="00D27162"/>
    <w:rsid w:val="00D306F8"/>
    <w:rsid w:val="00D315CE"/>
    <w:rsid w:val="00D32630"/>
    <w:rsid w:val="00D333A9"/>
    <w:rsid w:val="00D36CD7"/>
    <w:rsid w:val="00D36E70"/>
    <w:rsid w:val="00D4123F"/>
    <w:rsid w:val="00D427B2"/>
    <w:rsid w:val="00D4321B"/>
    <w:rsid w:val="00D43FD6"/>
    <w:rsid w:val="00D44246"/>
    <w:rsid w:val="00D44907"/>
    <w:rsid w:val="00D45195"/>
    <w:rsid w:val="00D51277"/>
    <w:rsid w:val="00D52DC4"/>
    <w:rsid w:val="00D537A6"/>
    <w:rsid w:val="00D5424A"/>
    <w:rsid w:val="00D56081"/>
    <w:rsid w:val="00D57DBD"/>
    <w:rsid w:val="00D61796"/>
    <w:rsid w:val="00D62230"/>
    <w:rsid w:val="00D62BA8"/>
    <w:rsid w:val="00D62DD0"/>
    <w:rsid w:val="00D62DDC"/>
    <w:rsid w:val="00D666EF"/>
    <w:rsid w:val="00D674F3"/>
    <w:rsid w:val="00D67BC0"/>
    <w:rsid w:val="00D71D02"/>
    <w:rsid w:val="00D7288E"/>
    <w:rsid w:val="00D72CEC"/>
    <w:rsid w:val="00D72FE0"/>
    <w:rsid w:val="00D737D6"/>
    <w:rsid w:val="00D73B9D"/>
    <w:rsid w:val="00D745D9"/>
    <w:rsid w:val="00D779A1"/>
    <w:rsid w:val="00D843BF"/>
    <w:rsid w:val="00D86A40"/>
    <w:rsid w:val="00D9083B"/>
    <w:rsid w:val="00D95B46"/>
    <w:rsid w:val="00D95BB4"/>
    <w:rsid w:val="00D969DC"/>
    <w:rsid w:val="00DA2524"/>
    <w:rsid w:val="00DA45D5"/>
    <w:rsid w:val="00DA56DE"/>
    <w:rsid w:val="00DB07FB"/>
    <w:rsid w:val="00DB1251"/>
    <w:rsid w:val="00DB3B9F"/>
    <w:rsid w:val="00DB4B60"/>
    <w:rsid w:val="00DB5CA2"/>
    <w:rsid w:val="00DB7526"/>
    <w:rsid w:val="00DC125D"/>
    <w:rsid w:val="00DC3E33"/>
    <w:rsid w:val="00DC4E03"/>
    <w:rsid w:val="00DD1CAB"/>
    <w:rsid w:val="00DD43D2"/>
    <w:rsid w:val="00DD5992"/>
    <w:rsid w:val="00DD5FCC"/>
    <w:rsid w:val="00DD63B3"/>
    <w:rsid w:val="00DD7C51"/>
    <w:rsid w:val="00DE05BE"/>
    <w:rsid w:val="00DE2A81"/>
    <w:rsid w:val="00DE3BBC"/>
    <w:rsid w:val="00DE71D9"/>
    <w:rsid w:val="00DF0983"/>
    <w:rsid w:val="00DF2405"/>
    <w:rsid w:val="00DF64B8"/>
    <w:rsid w:val="00DF7D0B"/>
    <w:rsid w:val="00DF7E20"/>
    <w:rsid w:val="00E00379"/>
    <w:rsid w:val="00E005C6"/>
    <w:rsid w:val="00E00AF0"/>
    <w:rsid w:val="00E0169A"/>
    <w:rsid w:val="00E01B0A"/>
    <w:rsid w:val="00E0205A"/>
    <w:rsid w:val="00E02B90"/>
    <w:rsid w:val="00E04618"/>
    <w:rsid w:val="00E105ED"/>
    <w:rsid w:val="00E14292"/>
    <w:rsid w:val="00E144F4"/>
    <w:rsid w:val="00E14D1A"/>
    <w:rsid w:val="00E14D6B"/>
    <w:rsid w:val="00E14E65"/>
    <w:rsid w:val="00E15158"/>
    <w:rsid w:val="00E155C6"/>
    <w:rsid w:val="00E1650F"/>
    <w:rsid w:val="00E170D0"/>
    <w:rsid w:val="00E2083A"/>
    <w:rsid w:val="00E223D1"/>
    <w:rsid w:val="00E229B7"/>
    <w:rsid w:val="00E22EF6"/>
    <w:rsid w:val="00E25345"/>
    <w:rsid w:val="00E25F92"/>
    <w:rsid w:val="00E300EF"/>
    <w:rsid w:val="00E31287"/>
    <w:rsid w:val="00E31D02"/>
    <w:rsid w:val="00E339EB"/>
    <w:rsid w:val="00E33CBF"/>
    <w:rsid w:val="00E3448F"/>
    <w:rsid w:val="00E37742"/>
    <w:rsid w:val="00E470B7"/>
    <w:rsid w:val="00E5164B"/>
    <w:rsid w:val="00E53368"/>
    <w:rsid w:val="00E5455C"/>
    <w:rsid w:val="00E55219"/>
    <w:rsid w:val="00E56235"/>
    <w:rsid w:val="00E57114"/>
    <w:rsid w:val="00E600F7"/>
    <w:rsid w:val="00E61943"/>
    <w:rsid w:val="00E63F74"/>
    <w:rsid w:val="00E6413F"/>
    <w:rsid w:val="00E64798"/>
    <w:rsid w:val="00E65213"/>
    <w:rsid w:val="00E65965"/>
    <w:rsid w:val="00E661E9"/>
    <w:rsid w:val="00E66204"/>
    <w:rsid w:val="00E72AEC"/>
    <w:rsid w:val="00E73586"/>
    <w:rsid w:val="00E73DE8"/>
    <w:rsid w:val="00E75771"/>
    <w:rsid w:val="00E804AE"/>
    <w:rsid w:val="00E8181A"/>
    <w:rsid w:val="00E826C2"/>
    <w:rsid w:val="00E82F1A"/>
    <w:rsid w:val="00E8644C"/>
    <w:rsid w:val="00E907C1"/>
    <w:rsid w:val="00E90E03"/>
    <w:rsid w:val="00E92436"/>
    <w:rsid w:val="00E958A5"/>
    <w:rsid w:val="00E96A0B"/>
    <w:rsid w:val="00E97BB0"/>
    <w:rsid w:val="00EA1ED7"/>
    <w:rsid w:val="00EA2DF8"/>
    <w:rsid w:val="00EA40A8"/>
    <w:rsid w:val="00EA49F9"/>
    <w:rsid w:val="00EA4F22"/>
    <w:rsid w:val="00EA5714"/>
    <w:rsid w:val="00EA6543"/>
    <w:rsid w:val="00EA65E1"/>
    <w:rsid w:val="00EA6928"/>
    <w:rsid w:val="00EA7AB4"/>
    <w:rsid w:val="00EA7DC5"/>
    <w:rsid w:val="00EB1B75"/>
    <w:rsid w:val="00EB1D36"/>
    <w:rsid w:val="00EB2C72"/>
    <w:rsid w:val="00EB338F"/>
    <w:rsid w:val="00EB5C7B"/>
    <w:rsid w:val="00EB7B01"/>
    <w:rsid w:val="00EC7E10"/>
    <w:rsid w:val="00ED292C"/>
    <w:rsid w:val="00ED2DB1"/>
    <w:rsid w:val="00ED3814"/>
    <w:rsid w:val="00ED5891"/>
    <w:rsid w:val="00ED7776"/>
    <w:rsid w:val="00EE3E1A"/>
    <w:rsid w:val="00EE5CEF"/>
    <w:rsid w:val="00EE68ED"/>
    <w:rsid w:val="00EE73F4"/>
    <w:rsid w:val="00EF014A"/>
    <w:rsid w:val="00F00D49"/>
    <w:rsid w:val="00F00FFC"/>
    <w:rsid w:val="00F05254"/>
    <w:rsid w:val="00F0553B"/>
    <w:rsid w:val="00F058DD"/>
    <w:rsid w:val="00F06BA8"/>
    <w:rsid w:val="00F11535"/>
    <w:rsid w:val="00F15568"/>
    <w:rsid w:val="00F1613E"/>
    <w:rsid w:val="00F17DB6"/>
    <w:rsid w:val="00F202F4"/>
    <w:rsid w:val="00F209F9"/>
    <w:rsid w:val="00F213DE"/>
    <w:rsid w:val="00F21DE7"/>
    <w:rsid w:val="00F22A53"/>
    <w:rsid w:val="00F22C62"/>
    <w:rsid w:val="00F23444"/>
    <w:rsid w:val="00F24B58"/>
    <w:rsid w:val="00F24E6D"/>
    <w:rsid w:val="00F2548D"/>
    <w:rsid w:val="00F256E7"/>
    <w:rsid w:val="00F27838"/>
    <w:rsid w:val="00F27E05"/>
    <w:rsid w:val="00F34B83"/>
    <w:rsid w:val="00F34C2B"/>
    <w:rsid w:val="00F35C64"/>
    <w:rsid w:val="00F36759"/>
    <w:rsid w:val="00F376C2"/>
    <w:rsid w:val="00F4029E"/>
    <w:rsid w:val="00F402A1"/>
    <w:rsid w:val="00F432EA"/>
    <w:rsid w:val="00F436B5"/>
    <w:rsid w:val="00F476D2"/>
    <w:rsid w:val="00F510F2"/>
    <w:rsid w:val="00F51F24"/>
    <w:rsid w:val="00F5578E"/>
    <w:rsid w:val="00F56A20"/>
    <w:rsid w:val="00F57CBB"/>
    <w:rsid w:val="00F64DCD"/>
    <w:rsid w:val="00F655A6"/>
    <w:rsid w:val="00F65B3C"/>
    <w:rsid w:val="00F7512C"/>
    <w:rsid w:val="00F75AC4"/>
    <w:rsid w:val="00F75C5B"/>
    <w:rsid w:val="00F8036A"/>
    <w:rsid w:val="00F81655"/>
    <w:rsid w:val="00F82859"/>
    <w:rsid w:val="00F82E77"/>
    <w:rsid w:val="00F8526E"/>
    <w:rsid w:val="00F912DC"/>
    <w:rsid w:val="00F93C35"/>
    <w:rsid w:val="00F949D1"/>
    <w:rsid w:val="00F95083"/>
    <w:rsid w:val="00F9594B"/>
    <w:rsid w:val="00F97A4B"/>
    <w:rsid w:val="00F97B74"/>
    <w:rsid w:val="00FA1221"/>
    <w:rsid w:val="00FA1BDF"/>
    <w:rsid w:val="00FA32F6"/>
    <w:rsid w:val="00FA4982"/>
    <w:rsid w:val="00FA4E19"/>
    <w:rsid w:val="00FB02F2"/>
    <w:rsid w:val="00FB1FED"/>
    <w:rsid w:val="00FB3F8F"/>
    <w:rsid w:val="00FB67C1"/>
    <w:rsid w:val="00FC0121"/>
    <w:rsid w:val="00FC0495"/>
    <w:rsid w:val="00FC3476"/>
    <w:rsid w:val="00FC3FCA"/>
    <w:rsid w:val="00FC5E93"/>
    <w:rsid w:val="00FC70BD"/>
    <w:rsid w:val="00FC7E15"/>
    <w:rsid w:val="00FD3191"/>
    <w:rsid w:val="00FD331B"/>
    <w:rsid w:val="00FD495B"/>
    <w:rsid w:val="00FD6364"/>
    <w:rsid w:val="00FD7CDE"/>
    <w:rsid w:val="00FE080E"/>
    <w:rsid w:val="00FE1433"/>
    <w:rsid w:val="00FE3609"/>
    <w:rsid w:val="00FE36EA"/>
    <w:rsid w:val="00FE451A"/>
    <w:rsid w:val="00FE4C60"/>
    <w:rsid w:val="00FE52BF"/>
    <w:rsid w:val="00FE566E"/>
    <w:rsid w:val="00FE614C"/>
    <w:rsid w:val="00FE7EF0"/>
    <w:rsid w:val="00FF011F"/>
    <w:rsid w:val="00FF09BE"/>
    <w:rsid w:val="00FF1232"/>
    <w:rsid w:val="00FF4C5C"/>
    <w:rsid w:val="00FF6CE4"/>
    <w:rsid w:val="00FF76F6"/>
    <w:rsid w:val="00FF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6EE61272-3512-40FF-BB0C-26ABDBE7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09"/>
        <w:tab w:val="left" w:pos="1440"/>
        <w:tab w:val="left" w:pos="2160"/>
        <w:tab w:val="left" w:pos="2880"/>
        <w:tab w:val="left" w:pos="3600"/>
        <w:tab w:val="left" w:pos="4320"/>
        <w:tab w:val="left" w:pos="5850"/>
      </w:tabs>
      <w:outlineLvl w:val="0"/>
    </w:pPr>
    <w:rPr>
      <w:sz w:val="24"/>
    </w:rPr>
  </w:style>
  <w:style w:type="paragraph" w:styleId="Heading2">
    <w:name w:val="heading 2"/>
    <w:basedOn w:val="Normal"/>
    <w:next w:val="Normal"/>
    <w:qFormat/>
    <w:pPr>
      <w:keepNext/>
      <w:tabs>
        <w:tab w:val="left" w:pos="709"/>
        <w:tab w:val="left" w:pos="1440"/>
        <w:tab w:val="left" w:pos="2160"/>
        <w:tab w:val="left" w:pos="2880"/>
        <w:tab w:val="left" w:pos="3600"/>
        <w:tab w:val="left" w:pos="4320"/>
        <w:tab w:val="left" w:pos="5850"/>
      </w:tabs>
      <w:jc w:val="center"/>
      <w:outlineLvl w:val="1"/>
    </w:pPr>
    <w:rPr>
      <w:b/>
      <w:sz w:val="24"/>
      <w:u w:val="single"/>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outlineLvl w:val="3"/>
    </w:pPr>
    <w:rPr>
      <w:b/>
      <w:sz w:val="24"/>
      <w:u w:val="single"/>
    </w:rPr>
  </w:style>
  <w:style w:type="paragraph" w:styleId="Heading6">
    <w:name w:val="heading 6"/>
    <w:basedOn w:val="Normal"/>
    <w:next w:val="Normal"/>
    <w:qFormat/>
    <w:pPr>
      <w:keepNext/>
      <w:tabs>
        <w:tab w:val="left" w:pos="360"/>
      </w:tabs>
      <w:outlineLvl w:val="5"/>
    </w:pPr>
    <w:rPr>
      <w:i/>
      <w:sz w:val="24"/>
    </w:rPr>
  </w:style>
  <w:style w:type="paragraph" w:styleId="Heading7">
    <w:name w:val="heading 7"/>
    <w:basedOn w:val="Normal"/>
    <w:next w:val="Normal"/>
    <w:qFormat/>
    <w:pPr>
      <w:keepNext/>
      <w:jc w:val="center"/>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odyTextIndent">
    <w:name w:val="Body Text Indent"/>
    <w:basedOn w:val="Normal"/>
    <w:pPr>
      <w:ind w:firstLine="720"/>
    </w:pPr>
    <w:rPr>
      <w:sz w:val="24"/>
    </w:rPr>
  </w:style>
  <w:style w:type="paragraph" w:styleId="BodyText">
    <w:name w:val="Body Text"/>
    <w:basedOn w:val="Normal"/>
    <w:pPr>
      <w:tabs>
        <w:tab w:val="left" w:pos="709"/>
        <w:tab w:val="left" w:pos="5850"/>
      </w:tabs>
    </w:pPr>
    <w:rPr>
      <w:sz w:val="24"/>
    </w:rPr>
  </w:style>
  <w:style w:type="paragraph" w:styleId="BodyTextIndent2">
    <w:name w:val="Body Text Indent 2"/>
    <w:basedOn w:val="Normal"/>
    <w:pPr>
      <w:ind w:left="720" w:hanging="720"/>
    </w:pPr>
    <w:rPr>
      <w:sz w:val="24"/>
    </w:rPr>
  </w:style>
  <w:style w:type="paragraph" w:styleId="BodyText2">
    <w:name w:val="Body Text 2"/>
    <w:basedOn w:val="Normal"/>
    <w:rPr>
      <w:sz w:val="22"/>
    </w:rPr>
  </w:style>
  <w:style w:type="table" w:styleId="TableGrid">
    <w:name w:val="Table Grid"/>
    <w:basedOn w:val="TableNormal"/>
    <w:rsid w:val="00600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Grid"/>
    <w:rsid w:val="00040FA1"/>
    <w:tblPr/>
    <w:tcPr>
      <w:noWrap/>
      <w:tcMar>
        <w:left w:w="115" w:type="dxa"/>
        <w:right w:w="115" w:type="dxa"/>
      </w:tcMar>
    </w:tcPr>
  </w:style>
  <w:style w:type="paragraph" w:styleId="BalloonText">
    <w:name w:val="Balloon Text"/>
    <w:basedOn w:val="Normal"/>
    <w:semiHidden/>
    <w:rsid w:val="009A5DC6"/>
    <w:rPr>
      <w:rFonts w:ascii="Tahoma" w:hAnsi="Tahoma" w:cs="Tahoma"/>
      <w:sz w:val="16"/>
      <w:szCs w:val="16"/>
    </w:rPr>
  </w:style>
  <w:style w:type="paragraph" w:styleId="DocumentMap">
    <w:name w:val="Document Map"/>
    <w:basedOn w:val="Normal"/>
    <w:semiHidden/>
    <w:rsid w:val="00140F13"/>
    <w:pPr>
      <w:shd w:val="clear" w:color="auto" w:fill="000080"/>
    </w:pPr>
    <w:rPr>
      <w:rFonts w:ascii="Tahoma" w:hAnsi="Tahoma" w:cs="Tahoma"/>
    </w:rPr>
  </w:style>
  <w:style w:type="table" w:styleId="TableGrid2">
    <w:name w:val="Table Grid 2"/>
    <w:basedOn w:val="TableNormal"/>
    <w:rsid w:val="00F402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Style2">
    <w:name w:val="Table Style2"/>
    <w:basedOn w:val="TableGrid2"/>
    <w:rsid w:val="00DF0983"/>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0C5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8572">
      <w:bodyDiv w:val="1"/>
      <w:marLeft w:val="0"/>
      <w:marRight w:val="0"/>
      <w:marTop w:val="0"/>
      <w:marBottom w:val="0"/>
      <w:divBdr>
        <w:top w:val="none" w:sz="0" w:space="0" w:color="auto"/>
        <w:left w:val="none" w:sz="0" w:space="0" w:color="auto"/>
        <w:bottom w:val="none" w:sz="0" w:space="0" w:color="auto"/>
        <w:right w:val="none" w:sz="0" w:space="0" w:color="auto"/>
      </w:divBdr>
    </w:div>
    <w:div w:id="775827454">
      <w:bodyDiv w:val="1"/>
      <w:marLeft w:val="0"/>
      <w:marRight w:val="0"/>
      <w:marTop w:val="0"/>
      <w:marBottom w:val="0"/>
      <w:divBdr>
        <w:top w:val="none" w:sz="0" w:space="0" w:color="auto"/>
        <w:left w:val="none" w:sz="0" w:space="0" w:color="auto"/>
        <w:bottom w:val="none" w:sz="0" w:space="0" w:color="auto"/>
        <w:right w:val="none" w:sz="0" w:space="0" w:color="auto"/>
      </w:divBdr>
    </w:div>
    <w:div w:id="923804000">
      <w:bodyDiv w:val="1"/>
      <w:marLeft w:val="0"/>
      <w:marRight w:val="0"/>
      <w:marTop w:val="0"/>
      <w:marBottom w:val="0"/>
      <w:divBdr>
        <w:top w:val="none" w:sz="0" w:space="0" w:color="auto"/>
        <w:left w:val="none" w:sz="0" w:space="0" w:color="auto"/>
        <w:bottom w:val="none" w:sz="0" w:space="0" w:color="auto"/>
        <w:right w:val="none" w:sz="0" w:space="0" w:color="auto"/>
      </w:divBdr>
    </w:div>
    <w:div w:id="1047409309">
      <w:bodyDiv w:val="1"/>
      <w:marLeft w:val="0"/>
      <w:marRight w:val="0"/>
      <w:marTop w:val="0"/>
      <w:marBottom w:val="0"/>
      <w:divBdr>
        <w:top w:val="none" w:sz="0" w:space="0" w:color="auto"/>
        <w:left w:val="none" w:sz="0" w:space="0" w:color="auto"/>
        <w:bottom w:val="none" w:sz="0" w:space="0" w:color="auto"/>
        <w:right w:val="none" w:sz="0" w:space="0" w:color="auto"/>
      </w:divBdr>
    </w:div>
    <w:div w:id="1052121339">
      <w:bodyDiv w:val="1"/>
      <w:marLeft w:val="0"/>
      <w:marRight w:val="0"/>
      <w:marTop w:val="0"/>
      <w:marBottom w:val="0"/>
      <w:divBdr>
        <w:top w:val="none" w:sz="0" w:space="0" w:color="auto"/>
        <w:left w:val="none" w:sz="0" w:space="0" w:color="auto"/>
        <w:bottom w:val="none" w:sz="0" w:space="0" w:color="auto"/>
        <w:right w:val="none" w:sz="0" w:space="0" w:color="auto"/>
      </w:divBdr>
    </w:div>
    <w:div w:id="1081678378">
      <w:bodyDiv w:val="1"/>
      <w:marLeft w:val="0"/>
      <w:marRight w:val="0"/>
      <w:marTop w:val="0"/>
      <w:marBottom w:val="0"/>
      <w:divBdr>
        <w:top w:val="none" w:sz="0" w:space="0" w:color="auto"/>
        <w:left w:val="none" w:sz="0" w:space="0" w:color="auto"/>
        <w:bottom w:val="none" w:sz="0" w:space="0" w:color="auto"/>
        <w:right w:val="none" w:sz="0" w:space="0" w:color="auto"/>
      </w:divBdr>
    </w:div>
    <w:div w:id="1180319664">
      <w:bodyDiv w:val="1"/>
      <w:marLeft w:val="0"/>
      <w:marRight w:val="0"/>
      <w:marTop w:val="0"/>
      <w:marBottom w:val="0"/>
      <w:divBdr>
        <w:top w:val="none" w:sz="0" w:space="0" w:color="auto"/>
        <w:left w:val="none" w:sz="0" w:space="0" w:color="auto"/>
        <w:bottom w:val="none" w:sz="0" w:space="0" w:color="auto"/>
        <w:right w:val="none" w:sz="0" w:space="0" w:color="auto"/>
      </w:divBdr>
    </w:div>
    <w:div w:id="1233933407">
      <w:bodyDiv w:val="1"/>
      <w:marLeft w:val="0"/>
      <w:marRight w:val="0"/>
      <w:marTop w:val="0"/>
      <w:marBottom w:val="0"/>
      <w:divBdr>
        <w:top w:val="none" w:sz="0" w:space="0" w:color="auto"/>
        <w:left w:val="none" w:sz="0" w:space="0" w:color="auto"/>
        <w:bottom w:val="none" w:sz="0" w:space="0" w:color="auto"/>
        <w:right w:val="none" w:sz="0" w:space="0" w:color="auto"/>
      </w:divBdr>
    </w:div>
    <w:div w:id="1424642467">
      <w:bodyDiv w:val="1"/>
      <w:marLeft w:val="0"/>
      <w:marRight w:val="0"/>
      <w:marTop w:val="0"/>
      <w:marBottom w:val="0"/>
      <w:divBdr>
        <w:top w:val="none" w:sz="0" w:space="0" w:color="auto"/>
        <w:left w:val="none" w:sz="0" w:space="0" w:color="auto"/>
        <w:bottom w:val="none" w:sz="0" w:space="0" w:color="auto"/>
        <w:right w:val="none" w:sz="0" w:space="0" w:color="auto"/>
      </w:divBdr>
    </w:div>
    <w:div w:id="1487699232">
      <w:bodyDiv w:val="1"/>
      <w:marLeft w:val="0"/>
      <w:marRight w:val="0"/>
      <w:marTop w:val="0"/>
      <w:marBottom w:val="0"/>
      <w:divBdr>
        <w:top w:val="none" w:sz="0" w:space="0" w:color="auto"/>
        <w:left w:val="none" w:sz="0" w:space="0" w:color="auto"/>
        <w:bottom w:val="none" w:sz="0" w:space="0" w:color="auto"/>
        <w:right w:val="none" w:sz="0" w:space="0" w:color="auto"/>
      </w:divBdr>
    </w:div>
    <w:div w:id="19723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wmf"/><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oleObject" Target="embeddings/oleObject5.bin"/></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6.bin"/></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8.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Times New Roman"/>
                <a:ea typeface="Times New Roman"/>
                <a:cs typeface="Times New Roman"/>
              </a:defRPr>
            </a:pPr>
            <a:r>
              <a:rPr lang="en-US" sz="1400" b="1" i="0" u="none" strike="noStrike" baseline="0">
                <a:solidFill>
                  <a:srgbClr val="000000"/>
                </a:solidFill>
                <a:latin typeface="Times New Roman"/>
                <a:cs typeface="Times New Roman"/>
              </a:rPr>
              <a:t>Village of Park Forest </a:t>
            </a:r>
          </a:p>
          <a:p>
            <a:pPr>
              <a:defRPr sz="1600" b="1" i="0" u="none" strike="noStrike" baseline="0">
                <a:solidFill>
                  <a:srgbClr val="000000"/>
                </a:solidFill>
                <a:latin typeface="Times New Roman"/>
                <a:ea typeface="Times New Roman"/>
                <a:cs typeface="Times New Roman"/>
              </a:defRPr>
            </a:pPr>
            <a:r>
              <a:rPr lang="en-US" sz="1400" b="1" i="0" u="none" strike="noStrike" baseline="0">
                <a:solidFill>
                  <a:srgbClr val="000000"/>
                </a:solidFill>
                <a:latin typeface="Times New Roman"/>
                <a:cs typeface="Times New Roman"/>
              </a:rPr>
              <a:t>  General Fund/Motor Fuel Tax Operating Revenue</a:t>
            </a:r>
          </a:p>
          <a:p>
            <a:pPr>
              <a:defRPr sz="1600" b="1" i="0" u="none" strike="noStrike" baseline="0">
                <a:solidFill>
                  <a:srgbClr val="000000"/>
                </a:solidFill>
                <a:latin typeface="Times New Roman"/>
                <a:ea typeface="Times New Roman"/>
                <a:cs typeface="Times New Roman"/>
              </a:defRPr>
            </a:pPr>
            <a:r>
              <a:rPr lang="en-US" sz="1400" b="1" i="0" u="none" strike="noStrike" baseline="0">
                <a:solidFill>
                  <a:srgbClr val="000000"/>
                </a:solidFill>
                <a:latin typeface="Times New Roman"/>
                <a:cs typeface="Times New Roman"/>
              </a:rPr>
              <a:t>FY 22/23 Budget</a:t>
            </a:r>
          </a:p>
          <a:p>
            <a:pPr>
              <a:defRPr sz="1600" b="1" i="0" u="none" strike="noStrike" baseline="0">
                <a:solidFill>
                  <a:srgbClr val="000000"/>
                </a:solidFill>
                <a:latin typeface="Times New Roman"/>
                <a:ea typeface="Times New Roman"/>
                <a:cs typeface="Times New Roman"/>
              </a:defRPr>
            </a:pPr>
            <a:endParaRPr lang="en-US" sz="1200" b="1" i="0" u="none" strike="noStrike" baseline="0">
              <a:solidFill>
                <a:srgbClr val="000000"/>
              </a:solidFill>
              <a:latin typeface="Times New Roman"/>
              <a:cs typeface="Times New Roman"/>
            </a:endParaRPr>
          </a:p>
          <a:p>
            <a:pPr>
              <a:defRPr sz="1600" b="1" i="0" u="none" strike="noStrike" baseline="0">
                <a:solidFill>
                  <a:srgbClr val="000000"/>
                </a:solidFill>
                <a:latin typeface="Times New Roman"/>
                <a:ea typeface="Times New Roman"/>
                <a:cs typeface="Times New Roman"/>
              </a:defRPr>
            </a:pPr>
            <a:endParaRPr lang="en-US" sz="1200" b="1" i="0" u="none" strike="noStrike" baseline="0">
              <a:solidFill>
                <a:srgbClr val="000000"/>
              </a:solidFill>
              <a:latin typeface="Times New Roman"/>
              <a:cs typeface="Times New Roman"/>
            </a:endParaRPr>
          </a:p>
          <a:p>
            <a:pPr>
              <a:defRPr sz="1600" b="1" i="0" u="none" strike="noStrike" baseline="0">
                <a:solidFill>
                  <a:srgbClr val="000000"/>
                </a:solidFill>
                <a:latin typeface="Times New Roman"/>
                <a:ea typeface="Times New Roman"/>
                <a:cs typeface="Times New Roman"/>
              </a:defRPr>
            </a:pPr>
            <a:r>
              <a:rPr lang="en-US" sz="1200" b="1" i="0" u="none" strike="noStrike" baseline="0">
                <a:solidFill>
                  <a:srgbClr val="000000"/>
                </a:solidFill>
                <a:latin typeface="Times New Roman"/>
                <a:cs typeface="Times New Roman"/>
              </a:rPr>
              <a:t>					</a:t>
            </a:r>
          </a:p>
        </c:rich>
      </c:tx>
      <c:layout>
        <c:manualLayout>
          <c:xMode val="edge"/>
          <c:yMode val="edge"/>
          <c:x val="0.17852127109439322"/>
          <c:y val="1.0798398959210299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8784232928724526"/>
          <c:y val="0.3246024733463751"/>
          <c:w val="0.66666666666666663"/>
          <c:h val="0.39934533551555007"/>
        </c:manualLayout>
      </c:layout>
      <c:pie3DChart>
        <c:varyColors val="1"/>
        <c:ser>
          <c:idx val="0"/>
          <c:order val="0"/>
          <c:spPr>
            <a:solidFill>
              <a:srgbClr val="FFFF00"/>
            </a:solidFill>
            <a:ln w="12700">
              <a:solidFill>
                <a:srgbClr val="000000"/>
              </a:solidFill>
              <a:prstDash val="solid"/>
            </a:ln>
          </c:spPr>
          <c:dPt>
            <c:idx val="0"/>
            <c:bubble3D val="0"/>
            <c:spPr>
              <a:solidFill>
                <a:srgbClr val="FF0000"/>
              </a:solidFill>
              <a:ln w="12700">
                <a:solidFill>
                  <a:srgbClr val="000000"/>
                </a:solidFill>
                <a:prstDash val="solid"/>
              </a:ln>
            </c:spPr>
            <c:extLst>
              <c:ext xmlns:c16="http://schemas.microsoft.com/office/drawing/2014/chart" uri="{C3380CC4-5D6E-409C-BE32-E72D297353CC}">
                <c16:uniqueId val="{00000001-C7C1-4A29-AA83-EC09280B40BA}"/>
              </c:ext>
            </c:extLst>
          </c:dPt>
          <c:dPt>
            <c:idx val="1"/>
            <c:bubble3D val="0"/>
            <c:spPr>
              <a:solidFill>
                <a:srgbClr val="8080FF"/>
              </a:solidFill>
              <a:ln w="12700">
                <a:solidFill>
                  <a:srgbClr val="000000"/>
                </a:solidFill>
                <a:prstDash val="solid"/>
              </a:ln>
            </c:spPr>
            <c:extLst>
              <c:ext xmlns:c16="http://schemas.microsoft.com/office/drawing/2014/chart" uri="{C3380CC4-5D6E-409C-BE32-E72D297353CC}">
                <c16:uniqueId val="{00000003-C7C1-4A29-AA83-EC09280B40BA}"/>
              </c:ext>
            </c:extLst>
          </c:dPt>
          <c:dPt>
            <c:idx val="2"/>
            <c:bubble3D val="0"/>
            <c:spPr>
              <a:solidFill>
                <a:srgbClr val="00FF00"/>
              </a:solidFill>
              <a:ln w="12700">
                <a:solidFill>
                  <a:srgbClr val="000000"/>
                </a:solidFill>
                <a:prstDash val="solid"/>
              </a:ln>
            </c:spPr>
            <c:extLst>
              <c:ext xmlns:c16="http://schemas.microsoft.com/office/drawing/2014/chart" uri="{C3380CC4-5D6E-409C-BE32-E72D297353CC}">
                <c16:uniqueId val="{00000005-C7C1-4A29-AA83-EC09280B40BA}"/>
              </c:ext>
            </c:extLst>
          </c:dPt>
          <c:dPt>
            <c:idx val="4"/>
            <c:bubble3D val="0"/>
            <c:spPr>
              <a:solidFill>
                <a:srgbClr val="993366"/>
              </a:solidFill>
              <a:ln w="12700">
                <a:solidFill>
                  <a:srgbClr val="000000"/>
                </a:solidFill>
                <a:prstDash val="solid"/>
              </a:ln>
            </c:spPr>
            <c:extLst>
              <c:ext xmlns:c16="http://schemas.microsoft.com/office/drawing/2014/chart" uri="{C3380CC4-5D6E-409C-BE32-E72D297353CC}">
                <c16:uniqueId val="{00000007-C7C1-4A29-AA83-EC09280B40BA}"/>
              </c:ext>
            </c:extLst>
          </c:dPt>
          <c:dPt>
            <c:idx val="5"/>
            <c:bubble3D val="0"/>
            <c:spPr>
              <a:solidFill>
                <a:srgbClr val="CC9CCC"/>
              </a:solidFill>
              <a:ln w="12700">
                <a:solidFill>
                  <a:srgbClr val="000000"/>
                </a:solidFill>
                <a:prstDash val="solid"/>
              </a:ln>
            </c:spPr>
            <c:extLst>
              <c:ext xmlns:c16="http://schemas.microsoft.com/office/drawing/2014/chart" uri="{C3380CC4-5D6E-409C-BE32-E72D297353CC}">
                <c16:uniqueId val="{00000009-C7C1-4A29-AA83-EC09280B40BA}"/>
              </c:ext>
            </c:extLst>
          </c:dPt>
          <c:dPt>
            <c:idx val="6"/>
            <c:bubble3D val="0"/>
            <c:spPr>
              <a:solidFill>
                <a:srgbClr val="999933"/>
              </a:solidFill>
              <a:ln w="12700">
                <a:solidFill>
                  <a:srgbClr val="000000"/>
                </a:solidFill>
                <a:prstDash val="solid"/>
              </a:ln>
            </c:spPr>
            <c:extLst>
              <c:ext xmlns:c16="http://schemas.microsoft.com/office/drawing/2014/chart" uri="{C3380CC4-5D6E-409C-BE32-E72D297353CC}">
                <c16:uniqueId val="{0000000B-C7C1-4A29-AA83-EC09280B40BA}"/>
              </c:ext>
            </c:extLst>
          </c:dPt>
          <c:dPt>
            <c:idx val="7"/>
            <c:bubble3D val="0"/>
            <c:spPr>
              <a:solidFill>
                <a:srgbClr val="3333CC"/>
              </a:solidFill>
              <a:ln w="12700">
                <a:solidFill>
                  <a:srgbClr val="000000"/>
                </a:solidFill>
                <a:prstDash val="solid"/>
              </a:ln>
            </c:spPr>
            <c:extLst>
              <c:ext xmlns:c16="http://schemas.microsoft.com/office/drawing/2014/chart" uri="{C3380CC4-5D6E-409C-BE32-E72D297353CC}">
                <c16:uniqueId val="{0000000D-C7C1-4A29-AA83-EC09280B40BA}"/>
              </c:ext>
            </c:extLst>
          </c:dPt>
          <c:dPt>
            <c:idx val="8"/>
            <c:bubble3D val="0"/>
            <c:spPr>
              <a:solidFill>
                <a:srgbClr val="A6CAF0"/>
              </a:solidFill>
              <a:ln w="12700">
                <a:solidFill>
                  <a:srgbClr val="000000"/>
                </a:solidFill>
                <a:prstDash val="solid"/>
              </a:ln>
            </c:spPr>
            <c:extLst>
              <c:ext xmlns:c16="http://schemas.microsoft.com/office/drawing/2014/chart" uri="{C3380CC4-5D6E-409C-BE32-E72D297353CC}">
                <c16:uniqueId val="{0000000F-C7C1-4A29-AA83-EC09280B40BA}"/>
              </c:ext>
            </c:extLst>
          </c:dPt>
          <c:dPt>
            <c:idx val="9"/>
            <c:bubble3D val="0"/>
            <c:spPr>
              <a:solidFill>
                <a:srgbClr val="FFFFC0"/>
              </a:solidFill>
              <a:ln w="12700">
                <a:solidFill>
                  <a:srgbClr val="000000"/>
                </a:solidFill>
                <a:prstDash val="solid"/>
              </a:ln>
            </c:spPr>
            <c:extLst>
              <c:ext xmlns:c16="http://schemas.microsoft.com/office/drawing/2014/chart" uri="{C3380CC4-5D6E-409C-BE32-E72D297353CC}">
                <c16:uniqueId val="{00000011-C7C1-4A29-AA83-EC09280B40BA}"/>
              </c:ext>
            </c:extLst>
          </c:dPt>
          <c:dPt>
            <c:idx val="10"/>
            <c:bubble3D val="0"/>
            <c:spPr>
              <a:solidFill>
                <a:srgbClr val="FF00FF"/>
              </a:solidFill>
              <a:ln w="12700">
                <a:solidFill>
                  <a:srgbClr val="000000"/>
                </a:solidFill>
                <a:prstDash val="solid"/>
              </a:ln>
            </c:spPr>
            <c:extLst>
              <c:ext xmlns:c16="http://schemas.microsoft.com/office/drawing/2014/chart" uri="{C3380CC4-5D6E-409C-BE32-E72D297353CC}">
                <c16:uniqueId val="{00000013-C7C1-4A29-AA83-EC09280B40BA}"/>
              </c:ext>
            </c:extLst>
          </c:dPt>
          <c:dLbls>
            <c:dLbl>
              <c:idx val="0"/>
              <c:layout>
                <c:manualLayout>
                  <c:x val="-1.0577906495475377E-16"/>
                  <c:y val="-2.1780301243861798E-3"/>
                </c:manualLayout>
              </c:layout>
              <c:tx>
                <c:rich>
                  <a:bodyPr/>
                  <a:lstStyle/>
                  <a:p>
                    <a:pPr>
                      <a:defRPr sz="1000" b="0" i="0" u="none" strike="noStrike" baseline="0">
                        <a:solidFill>
                          <a:srgbClr val="000000"/>
                        </a:solidFill>
                        <a:latin typeface="Times New Roman"/>
                        <a:ea typeface="Times New Roman"/>
                        <a:cs typeface="Times New Roman"/>
                      </a:defRPr>
                    </a:pPr>
                    <a:r>
                      <a:rPr lang="en-US"/>
                      <a:t>Property Taxes 
55%</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C1-4A29-AA83-EC09280B40BA}"/>
                </c:ext>
              </c:extLst>
            </c:dLbl>
            <c:dLbl>
              <c:idx val="1"/>
              <c:layout>
                <c:manualLayout>
                  <c:x val="1.7201318890513323E-2"/>
                  <c:y val="2.60140641175990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7C1-4A29-AA83-EC09280B40BA}"/>
                </c:ext>
              </c:extLst>
            </c:dLbl>
            <c:dLbl>
              <c:idx val="2"/>
              <c:layout>
                <c:manualLayout>
                  <c:x val="-6.6367722035502619E-5"/>
                  <c:y val="3.9450141902993834E-2"/>
                </c:manualLayout>
              </c:layout>
              <c:tx>
                <c:rich>
                  <a:bodyPr/>
                  <a:lstStyle/>
                  <a:p>
                    <a:pPr>
                      <a:defRPr sz="1000" b="0" i="0" u="none" strike="noStrike" baseline="0">
                        <a:solidFill>
                          <a:srgbClr val="000000"/>
                        </a:solidFill>
                        <a:latin typeface="Times New Roman"/>
                        <a:ea typeface="Times New Roman"/>
                        <a:cs typeface="Times New Roman"/>
                      </a:defRPr>
                    </a:pPr>
                    <a:r>
                      <a:rPr lang="en-US"/>
                      <a:t>State Income Tax
9%</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C1-4A29-AA83-EC09280B40BA}"/>
                </c:ext>
              </c:extLst>
            </c:dLbl>
            <c:dLbl>
              <c:idx val="3"/>
              <c:layout>
                <c:manualLayout>
                  <c:x val="-7.8216916900365169E-2"/>
                  <c:y val="2.2065214608729358E-2"/>
                </c:manualLayout>
              </c:layout>
              <c:tx>
                <c:rich>
                  <a:bodyPr/>
                  <a:lstStyle/>
                  <a:p>
                    <a:pPr>
                      <a:defRPr sz="1000" b="0" i="0" u="none" strike="noStrike" baseline="0">
                        <a:solidFill>
                          <a:srgbClr val="000000"/>
                        </a:solidFill>
                        <a:latin typeface="Times New Roman"/>
                        <a:ea typeface="Times New Roman"/>
                        <a:cs typeface="Times New Roman"/>
                      </a:defRPr>
                    </a:pPr>
                    <a:r>
                      <a:rPr lang="en-US"/>
                      <a:t>Utility Tax
3%</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7C1-4A29-AA83-EC09280B40BA}"/>
                </c:ext>
              </c:extLst>
            </c:dLbl>
            <c:dLbl>
              <c:idx val="4"/>
              <c:layout>
                <c:manualLayout>
                  <c:x val="-3.4739056425453919E-2"/>
                  <c:y val="-2.55781340867373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7C1-4A29-AA83-EC09280B40BA}"/>
                </c:ext>
              </c:extLst>
            </c:dLbl>
            <c:dLbl>
              <c:idx val="5"/>
              <c:layout>
                <c:manualLayout>
                  <c:x val="-5.7089255551095848E-2"/>
                  <c:y val="1.7425829193714572E-2"/>
                </c:manualLayout>
              </c:layout>
              <c:tx>
                <c:rich>
                  <a:bodyPr/>
                  <a:lstStyle/>
                  <a:p>
                    <a:pPr>
                      <a:defRPr sz="1000" b="0" i="0" u="none" strike="noStrike" baseline="0">
                        <a:solidFill>
                          <a:srgbClr val="000000"/>
                        </a:solidFill>
                        <a:latin typeface="Times New Roman"/>
                        <a:ea typeface="Times New Roman"/>
                        <a:cs typeface="Times New Roman"/>
                      </a:defRPr>
                    </a:pPr>
                    <a:r>
                      <a:rPr lang="en-US"/>
                      <a:t>Charges for Services
6%</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manualLayout>
                      <c:w val="0.16508914666313382"/>
                      <c:h val="7.849623734844792E-2"/>
                    </c:manualLayout>
                  </c15:layout>
                </c:ext>
                <c:ext xmlns:c16="http://schemas.microsoft.com/office/drawing/2014/chart" uri="{C3380CC4-5D6E-409C-BE32-E72D297353CC}">
                  <c16:uniqueId val="{00000009-C7C1-4A29-AA83-EC09280B40BA}"/>
                </c:ext>
              </c:extLst>
            </c:dLbl>
            <c:dLbl>
              <c:idx val="6"/>
              <c:layout>
                <c:manualLayout>
                  <c:x val="-5.9597289181802106E-2"/>
                  <c:y val="-1.163193368407118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7C1-4A29-AA83-EC09280B40BA}"/>
                </c:ext>
              </c:extLst>
            </c:dLbl>
            <c:dLbl>
              <c:idx val="7"/>
              <c:layout>
                <c:manualLayout>
                  <c:x val="-6.2320047807197347E-2"/>
                  <c:y val="-5.2524490156465389E-2"/>
                </c:manualLayout>
              </c:layout>
              <c:tx>
                <c:rich>
                  <a:bodyPr/>
                  <a:lstStyle/>
                  <a:p>
                    <a:pPr>
                      <a:defRPr sz="1000" b="0" i="0" u="none" strike="noStrike" baseline="0">
                        <a:solidFill>
                          <a:srgbClr val="000000"/>
                        </a:solidFill>
                        <a:latin typeface="Times New Roman"/>
                        <a:ea typeface="Times New Roman"/>
                        <a:cs typeface="Times New Roman"/>
                      </a:defRPr>
                    </a:pPr>
                    <a:r>
                      <a:rPr lang="en-US"/>
                      <a:t>Grants
5%</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7C1-4A29-AA83-EC09280B40BA}"/>
                </c:ext>
              </c:extLst>
            </c:dLbl>
            <c:dLbl>
              <c:idx val="8"/>
              <c:layout>
                <c:manualLayout>
                  <c:x val="-2.156892221620724E-2"/>
                  <c:y val="-9.4920729443406043E-2"/>
                </c:manualLayout>
              </c:layout>
              <c:tx>
                <c:rich>
                  <a:bodyPr/>
                  <a:lstStyle/>
                  <a:p>
                    <a:pPr>
                      <a:defRPr sz="1000" b="0" i="0" u="none" strike="noStrike" baseline="0">
                        <a:solidFill>
                          <a:srgbClr val="000000"/>
                        </a:solidFill>
                        <a:latin typeface="Times New Roman"/>
                        <a:ea typeface="Times New Roman"/>
                        <a:cs typeface="Times New Roman"/>
                      </a:defRPr>
                    </a:pPr>
                    <a:r>
                      <a:rPr lang="en-US"/>
                      <a:t>Fines
1%</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7C1-4A29-AA83-EC09280B40BA}"/>
                </c:ext>
              </c:extLst>
            </c:dLbl>
            <c:dLbl>
              <c:idx val="9"/>
              <c:layout>
                <c:manualLayout>
                  <c:x val="9.5248165200336077E-2"/>
                  <c:y val="-5.9159529809771717E-2"/>
                </c:manualLayout>
              </c:layout>
              <c:tx>
                <c:rich>
                  <a:bodyPr/>
                  <a:lstStyle/>
                  <a:p>
                    <a:pPr>
                      <a:defRPr sz="1000" b="0" i="0" u="none" strike="noStrike" baseline="0">
                        <a:solidFill>
                          <a:srgbClr val="000000"/>
                        </a:solidFill>
                        <a:latin typeface="Times New Roman"/>
                        <a:ea typeface="Times New Roman"/>
                        <a:cs typeface="Times New Roman"/>
                      </a:defRPr>
                    </a:pPr>
                    <a:r>
                      <a:rPr lang="en-US"/>
                      <a:t>Motor Fuel Tax
4%</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7C1-4A29-AA83-EC09280B40BA}"/>
                </c:ext>
              </c:extLst>
            </c:dLbl>
            <c:dLbl>
              <c:idx val="10"/>
              <c:layout>
                <c:manualLayout>
                  <c:x val="0.101412307174958"/>
                  <c:y val="-2.3253132638289282E-2"/>
                </c:manualLayout>
              </c:layout>
              <c:tx>
                <c:rich>
                  <a:bodyPr/>
                  <a:lstStyle/>
                  <a:p>
                    <a:fld id="{BB659377-0E1B-486B-BEF1-0093F0D19D49}" type="CATEGORYNAME">
                      <a:rPr lang="en-US"/>
                      <a:pPr/>
                      <a:t>[CATEGORY NAME]</a:t>
                    </a:fld>
                    <a:r>
                      <a:rPr lang="en-US" baseline="0"/>
                      <a:t>
3%</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C7C1-4A29-AA83-EC09280B40BA}"/>
                </c:ext>
              </c:extLst>
            </c:dLbl>
            <c:dLbl>
              <c:idx val="11"/>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C7C1-4A29-AA83-EC09280B40BA}"/>
                </c:ext>
              </c:extLst>
            </c:dLbl>
            <c:numFmt formatCode="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'[Revenue Charts.xlsx]GF Operating Rev Data'!$A$60:$A$70</c:f>
              <c:strCache>
                <c:ptCount val="11"/>
                <c:pt idx="0">
                  <c:v>Property Taxes</c:v>
                </c:pt>
                <c:pt idx="1">
                  <c:v>Sales Tax</c:v>
                </c:pt>
                <c:pt idx="2">
                  <c:v>State Income Tax</c:v>
                </c:pt>
                <c:pt idx="3">
                  <c:v>Utility Tax</c:v>
                </c:pt>
                <c:pt idx="4">
                  <c:v>Licenses &amp; Permits</c:v>
                </c:pt>
                <c:pt idx="5">
                  <c:v>Charges for Services</c:v>
                </c:pt>
                <c:pt idx="6">
                  <c:v>Transfer-Other Funds</c:v>
                </c:pt>
                <c:pt idx="7">
                  <c:v>Grants</c:v>
                </c:pt>
                <c:pt idx="8">
                  <c:v>Fines</c:v>
                </c:pt>
                <c:pt idx="9">
                  <c:v>Motor Fuel Tax</c:v>
                </c:pt>
                <c:pt idx="10">
                  <c:v>Other</c:v>
                </c:pt>
              </c:strCache>
            </c:strRef>
          </c:cat>
          <c:val>
            <c:numRef>
              <c:f>'[Revenue Charts.xlsx]GF Operating Rev Data'!$B$60:$B$70</c:f>
              <c:numCache>
                <c:formatCode>#,##0</c:formatCode>
                <c:ptCount val="11"/>
                <c:pt idx="0">
                  <c:v>17199470</c:v>
                </c:pt>
                <c:pt idx="1">
                  <c:v>1616735</c:v>
                </c:pt>
                <c:pt idx="2">
                  <c:v>2869190</c:v>
                </c:pt>
                <c:pt idx="3">
                  <c:v>1000000</c:v>
                </c:pt>
                <c:pt idx="4">
                  <c:v>1106000</c:v>
                </c:pt>
                <c:pt idx="5">
                  <c:v>1860900</c:v>
                </c:pt>
                <c:pt idx="6">
                  <c:v>1934569</c:v>
                </c:pt>
                <c:pt idx="7">
                  <c:v>1504913</c:v>
                </c:pt>
                <c:pt idx="8">
                  <c:v>315000</c:v>
                </c:pt>
                <c:pt idx="9">
                  <c:v>1156983</c:v>
                </c:pt>
                <c:pt idx="10">
                  <c:v>816533</c:v>
                </c:pt>
              </c:numCache>
            </c:numRef>
          </c:val>
          <c:extLst>
            <c:ext xmlns:c16="http://schemas.microsoft.com/office/drawing/2014/chart" uri="{C3380CC4-5D6E-409C-BE32-E72D297353CC}">
              <c16:uniqueId val="{00000016-C7C1-4A29-AA83-EC09280B40BA}"/>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12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400" b="1" i="0" u="none" strike="noStrike" baseline="0">
                <a:solidFill>
                  <a:srgbClr val="000000"/>
                </a:solidFill>
                <a:latin typeface="Times New Roman"/>
                <a:ea typeface="Times New Roman"/>
                <a:cs typeface="Times New Roman"/>
              </a:defRPr>
            </a:pPr>
            <a:r>
              <a:rPr lang="en-US"/>
              <a:t>Property Tax Levy History - Pensions</a:t>
            </a:r>
          </a:p>
        </c:rich>
      </c:tx>
      <c:layout>
        <c:manualLayout>
          <c:xMode val="edge"/>
          <c:yMode val="edge"/>
          <c:x val="0.19605801725764671"/>
          <c:y val="3.2178013146586762E-2"/>
        </c:manualLayout>
      </c:layout>
      <c:overlay val="0"/>
    </c:title>
    <c:autoTitleDeleted val="0"/>
    <c:view3D>
      <c:rotX val="15"/>
      <c:hPercent val="68"/>
      <c:rotY val="20"/>
      <c:depthPercent val="100"/>
      <c:rAngAx val="1"/>
    </c:view3D>
    <c:floor>
      <c:thickness val="0"/>
    </c:floor>
    <c:sideWall>
      <c:thickness val="0"/>
      <c:spPr>
        <a:solidFill>
          <a:schemeClr val="bg1">
            <a:lumMod val="75000"/>
          </a:schemeClr>
        </a:solidFill>
      </c:spPr>
    </c:sideWall>
    <c:backWall>
      <c:thickness val="0"/>
      <c:spPr>
        <a:solidFill>
          <a:schemeClr val="bg1">
            <a:lumMod val="75000"/>
          </a:schemeClr>
        </a:solidFill>
      </c:spPr>
    </c:backWall>
    <c:plotArea>
      <c:layout>
        <c:manualLayout>
          <c:layoutTarget val="inner"/>
          <c:xMode val="edge"/>
          <c:yMode val="edge"/>
          <c:x val="0.11700370786984961"/>
          <c:y val="0.13456870988471573"/>
          <c:w val="0.60769464423007735"/>
          <c:h val="0.59237745724262347"/>
        </c:manualLayout>
      </c:layout>
      <c:bar3DChart>
        <c:barDir val="col"/>
        <c:grouping val="stacked"/>
        <c:varyColors val="0"/>
        <c:ser>
          <c:idx val="4"/>
          <c:order val="0"/>
          <c:tx>
            <c:strRef>
              <c:f>'[Property Tax Levy.xls]Data and chart'!$A$6</c:f>
              <c:strCache>
                <c:ptCount val="1"/>
                <c:pt idx="0">
                  <c:v> Police</c:v>
                </c:pt>
              </c:strCache>
            </c:strRef>
          </c:tx>
          <c:spPr>
            <a:solidFill>
              <a:schemeClr val="tx2"/>
            </a:solidFill>
            <a:ln>
              <a:solidFill>
                <a:schemeClr val="tx1"/>
              </a:solidFill>
            </a:ln>
          </c:spPr>
          <c:invertIfNegative val="0"/>
          <c:cat>
            <c:numRef>
              <c:f>'[Property Tax Levy.xls]Data and chart'!$P$4:$Y$4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'[Property Tax Levy.xls]Data and chart'!$P$6:$Y$6</c:f>
              <c:numCache>
                <c:formatCode>_(* #,##0_);_(* \(#,##0\);_(* "-"??_);_(@_)</c:formatCode>
                <c:ptCount val="10"/>
                <c:pt idx="0">
                  <c:v>1135449</c:v>
                </c:pt>
                <c:pt idx="1">
                  <c:v>1349138</c:v>
                </c:pt>
                <c:pt idx="2">
                  <c:v>1502014</c:v>
                </c:pt>
                <c:pt idx="3">
                  <c:v>1689415</c:v>
                </c:pt>
                <c:pt idx="4">
                  <c:v>1904411</c:v>
                </c:pt>
                <c:pt idx="5">
                  <c:v>1989441</c:v>
                </c:pt>
                <c:pt idx="6">
                  <c:v>2084376</c:v>
                </c:pt>
                <c:pt idx="7">
                  <c:v>2347398</c:v>
                </c:pt>
                <c:pt idx="8">
                  <c:v>2685705</c:v>
                </c:pt>
                <c:pt idx="9">
                  <c:v>2625116</c:v>
                </c:pt>
              </c:numCache>
            </c:numRef>
          </c:val>
          <c:extLst>
            <c:ext xmlns:c16="http://schemas.microsoft.com/office/drawing/2014/chart" uri="{C3380CC4-5D6E-409C-BE32-E72D297353CC}">
              <c16:uniqueId val="{00000000-22DD-491A-BBA1-93C2C6F19CA0}"/>
            </c:ext>
          </c:extLst>
        </c:ser>
        <c:ser>
          <c:idx val="2"/>
          <c:order val="1"/>
          <c:tx>
            <c:strRef>
              <c:f>'[Property Tax Levy.xls]Data and chart'!$A$7</c:f>
              <c:strCache>
                <c:ptCount val="1"/>
                <c:pt idx="0">
                  <c:v> Fire</c:v>
                </c:pt>
              </c:strCache>
            </c:strRef>
          </c:tx>
          <c:spPr>
            <a:solidFill>
              <a:srgbClr val="FF0000"/>
            </a:solidFill>
            <a:ln>
              <a:solidFill>
                <a:schemeClr val="tx1"/>
              </a:solidFill>
            </a:ln>
          </c:spPr>
          <c:invertIfNegative val="0"/>
          <c:cat>
            <c:numRef>
              <c:f>'[Property Tax Levy.xls]Data and chart'!$P$4:$Y$4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'[Property Tax Levy.xls]Data and chart'!$P$7:$Y$7</c:f>
              <c:numCache>
                <c:formatCode>_(* #,##0_);_(* \(#,##0\);_(* "-"??_);_(@_)</c:formatCode>
                <c:ptCount val="10"/>
                <c:pt idx="0">
                  <c:v>739802</c:v>
                </c:pt>
                <c:pt idx="1">
                  <c:v>891037</c:v>
                </c:pt>
                <c:pt idx="2">
                  <c:v>992775</c:v>
                </c:pt>
                <c:pt idx="3">
                  <c:v>999214</c:v>
                </c:pt>
                <c:pt idx="4">
                  <c:v>1201675</c:v>
                </c:pt>
                <c:pt idx="5">
                  <c:v>1307269</c:v>
                </c:pt>
                <c:pt idx="6">
                  <c:v>1352191</c:v>
                </c:pt>
                <c:pt idx="7">
                  <c:v>1461551</c:v>
                </c:pt>
                <c:pt idx="8">
                  <c:v>1590285</c:v>
                </c:pt>
                <c:pt idx="9">
                  <c:v>1583581</c:v>
                </c:pt>
              </c:numCache>
            </c:numRef>
          </c:val>
          <c:extLst>
            <c:ext xmlns:c16="http://schemas.microsoft.com/office/drawing/2014/chart" uri="{C3380CC4-5D6E-409C-BE32-E72D297353CC}">
              <c16:uniqueId val="{00000001-22DD-491A-BBA1-93C2C6F19CA0}"/>
            </c:ext>
          </c:extLst>
        </c:ser>
        <c:ser>
          <c:idx val="0"/>
          <c:order val="2"/>
          <c:tx>
            <c:strRef>
              <c:f>'[Property Tax Levy.xls]Data and chart'!$A$9</c:f>
              <c:strCache>
                <c:ptCount val="1"/>
                <c:pt idx="0">
                  <c:v> FICA</c:v>
                </c:pt>
              </c:strCache>
            </c:strRef>
          </c:tx>
          <c:spPr>
            <a:solidFill>
              <a:srgbClr val="FFFF00"/>
            </a:solidFill>
            <a:ln>
              <a:solidFill>
                <a:sysClr val="windowText" lastClr="000000"/>
              </a:solidFill>
            </a:ln>
          </c:spPr>
          <c:invertIfNegative val="0"/>
          <c:cat>
            <c:numRef>
              <c:f>'[Property Tax Levy.xls]Data and chart'!$P$4:$Y$4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'[Property Tax Levy.xls]Data and chart'!$P$9:$Y$9</c:f>
              <c:numCache>
                <c:formatCode>_(* #,##0_);_(* \(#,##0\);_(* "-"??_);_(@_)</c:formatCode>
                <c:ptCount val="10"/>
                <c:pt idx="0">
                  <c:v>411042</c:v>
                </c:pt>
                <c:pt idx="1">
                  <c:v>421105</c:v>
                </c:pt>
                <c:pt idx="2">
                  <c:v>430531</c:v>
                </c:pt>
                <c:pt idx="3">
                  <c:v>430531</c:v>
                </c:pt>
                <c:pt idx="4">
                  <c:v>462525</c:v>
                </c:pt>
                <c:pt idx="5">
                  <c:v>471207</c:v>
                </c:pt>
                <c:pt idx="6">
                  <c:v>525159</c:v>
                </c:pt>
                <c:pt idx="7">
                  <c:v>515647</c:v>
                </c:pt>
                <c:pt idx="8">
                  <c:v>533818</c:v>
                </c:pt>
                <c:pt idx="9">
                  <c:v>509942</c:v>
                </c:pt>
              </c:numCache>
            </c:numRef>
          </c:val>
          <c:extLst>
            <c:ext xmlns:c16="http://schemas.microsoft.com/office/drawing/2014/chart" uri="{C3380CC4-5D6E-409C-BE32-E72D297353CC}">
              <c16:uniqueId val="{00000002-22DD-491A-BBA1-93C2C6F19CA0}"/>
            </c:ext>
          </c:extLst>
        </c:ser>
        <c:ser>
          <c:idx val="1"/>
          <c:order val="3"/>
          <c:tx>
            <c:strRef>
              <c:f>'[Property Tax Levy.xls]Data and chart'!$A$8</c:f>
              <c:strCache>
                <c:ptCount val="1"/>
                <c:pt idx="0">
                  <c:v> IMRF</c:v>
                </c:pt>
              </c:strCache>
            </c:strRef>
          </c:tx>
          <c:spPr>
            <a:solidFill>
              <a:srgbClr val="92D050"/>
            </a:solidFill>
            <a:ln>
              <a:solidFill>
                <a:sysClr val="windowText" lastClr="000000"/>
              </a:solidFill>
            </a:ln>
          </c:spPr>
          <c:invertIfNegative val="0"/>
          <c:cat>
            <c:numRef>
              <c:f>'[Property Tax Levy.xls]Data and chart'!$P$4:$Y$4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'[Property Tax Levy.xls]Data and chart'!$P$8:$Y$8</c:f>
              <c:numCache>
                <c:formatCode>_(* #,##0_);_(* \(#,##0\);_(* "-"??_);_(@_)</c:formatCode>
                <c:ptCount val="10"/>
                <c:pt idx="0">
                  <c:v>422549</c:v>
                </c:pt>
                <c:pt idx="1">
                  <c:v>432870</c:v>
                </c:pt>
                <c:pt idx="2">
                  <c:v>442574</c:v>
                </c:pt>
                <c:pt idx="3">
                  <c:v>491600</c:v>
                </c:pt>
                <c:pt idx="4">
                  <c:v>590150</c:v>
                </c:pt>
                <c:pt idx="5">
                  <c:v>601475</c:v>
                </c:pt>
                <c:pt idx="6">
                  <c:v>574572</c:v>
                </c:pt>
                <c:pt idx="7">
                  <c:v>596086</c:v>
                </c:pt>
                <c:pt idx="8">
                  <c:v>605619</c:v>
                </c:pt>
                <c:pt idx="9">
                  <c:v>587483</c:v>
                </c:pt>
              </c:numCache>
            </c:numRef>
          </c:val>
          <c:extLst>
            <c:ext xmlns:c16="http://schemas.microsoft.com/office/drawing/2014/chart" uri="{C3380CC4-5D6E-409C-BE32-E72D297353CC}">
              <c16:uniqueId val="{00000003-22DD-491A-BBA1-93C2C6F19CA0}"/>
            </c:ext>
          </c:extLst>
        </c:ser>
        <c:dLbls>
          <c:showLegendKey val="0"/>
          <c:showVal val="0"/>
          <c:showCatName val="0"/>
          <c:showSerName val="0"/>
          <c:showPercent val="0"/>
          <c:showBubbleSize val="0"/>
        </c:dLbls>
        <c:gapWidth val="150"/>
        <c:shape val="box"/>
        <c:axId val="473221064"/>
        <c:axId val="1"/>
        <c:axId val="0"/>
      </c:bar3DChart>
      <c:catAx>
        <c:axId val="473221064"/>
        <c:scaling>
          <c:orientation val="minMax"/>
        </c:scaling>
        <c:delete val="0"/>
        <c:axPos val="b"/>
        <c:numFmt formatCode="General" sourceLinked="1"/>
        <c:majorTickMark val="out"/>
        <c:minorTickMark val="none"/>
        <c:tickLblPos val="low"/>
        <c:txPr>
          <a:bodyPr rot="2760000" vert="horz"/>
          <a:lstStyle/>
          <a:p>
            <a:pPr>
              <a:defRPr sz="1000" b="0" i="0" u="none" strike="noStrike" baseline="0">
                <a:solidFill>
                  <a:srgbClr val="000000"/>
                </a:solidFill>
                <a:latin typeface="Times New Roman"/>
                <a:ea typeface="Times New Roman"/>
                <a:cs typeface="Times New Roman"/>
              </a:defRPr>
            </a:pPr>
            <a:endParaRPr lang="en-US"/>
          </a:p>
        </c:txPr>
        <c:crossAx val="1"/>
        <c:crossesAt val="0"/>
        <c:auto val="1"/>
        <c:lblAlgn val="ctr"/>
        <c:lblOffset val="100"/>
        <c:tickLblSkip val="1"/>
        <c:tickMarkSkip val="1"/>
        <c:noMultiLvlLbl val="0"/>
      </c:catAx>
      <c:valAx>
        <c:axId val="1"/>
        <c:scaling>
          <c:orientation val="minMax"/>
        </c:scaling>
        <c:delete val="0"/>
        <c:axPos val="l"/>
        <c:majorGridlines/>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73221064"/>
        <c:crosses val="autoZero"/>
        <c:crossBetween val="between"/>
        <c:majorUnit val="500000"/>
        <c:minorUnit val="100000"/>
      </c:valAx>
      <c:spPr>
        <a:noFill/>
        <a:ln w="25400">
          <a:noFill/>
        </a:ln>
      </c:spPr>
    </c:plotArea>
    <c:legend>
      <c:legendPos val="r"/>
      <c:layout>
        <c:manualLayout>
          <c:xMode val="edge"/>
          <c:yMode val="edge"/>
          <c:x val="0.72222342305251064"/>
          <c:y val="0.35103337746498503"/>
          <c:w val="9.31374264491448E-2"/>
          <c:h val="0.28318676979536844"/>
        </c:manualLayout>
      </c:layout>
      <c:overlay val="0"/>
      <c:spPr>
        <a:ln>
          <a:solidFill>
            <a:schemeClr val="tx1"/>
          </a:solidFill>
        </a:ln>
      </c:spPr>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a:t>TREND OF EQUALIZED ASSESSED VALUATION</a:t>
            </a:r>
          </a:p>
        </c:rich>
      </c:tx>
      <c:layout>
        <c:manualLayout>
          <c:xMode val="edge"/>
          <c:yMode val="edge"/>
          <c:x val="0.26424050632911394"/>
          <c:y val="3.90625E-2"/>
        </c:manualLayout>
      </c:layout>
      <c:overlay val="0"/>
      <c:spPr>
        <a:noFill/>
        <a:ln w="25400">
          <a:noFill/>
        </a:ln>
      </c:spPr>
    </c:title>
    <c:autoTitleDeleted val="0"/>
    <c:plotArea>
      <c:layout>
        <c:manualLayout>
          <c:layoutTarget val="inner"/>
          <c:xMode val="edge"/>
          <c:yMode val="edge"/>
          <c:x val="0.19936712456397496"/>
          <c:y val="0.20981290546228892"/>
          <c:w val="0.7707132466875376"/>
          <c:h val="0.53800227801713463"/>
        </c:manualLayout>
      </c:layout>
      <c:lineChart>
        <c:grouping val="standard"/>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cat>
            <c:numRef>
              <c:f>'[2021 Statistical Section.xlsx]Trend of EAV'!$A$41:$A$59</c:f>
              <c:numCache>
                <c:formatCode>General</c:formatCode>
                <c:ptCount val="19"/>
                <c:pt idx="0">
                  <c:v>2011</c:v>
                </c:pt>
                <c:pt idx="2">
                  <c:v>2012</c:v>
                </c:pt>
                <c:pt idx="4">
                  <c:v>2013</c:v>
                </c:pt>
                <c:pt idx="6">
                  <c:v>2014</c:v>
                </c:pt>
                <c:pt idx="8">
                  <c:v>2015</c:v>
                </c:pt>
                <c:pt idx="10">
                  <c:v>2016</c:v>
                </c:pt>
                <c:pt idx="12">
                  <c:v>2017</c:v>
                </c:pt>
                <c:pt idx="14">
                  <c:v>2018</c:v>
                </c:pt>
                <c:pt idx="16">
                  <c:v>2019</c:v>
                </c:pt>
                <c:pt idx="18">
                  <c:v>2020</c:v>
                </c:pt>
              </c:numCache>
            </c:numRef>
          </c:cat>
          <c:val>
            <c:numRef>
              <c:f>'[2021 Statistical Section.xlsx]Trend of EAV'!$J$55</c:f>
              <c:numCache>
                <c:formatCode>General</c:formatCode>
                <c:ptCount val="1"/>
              </c:numCache>
            </c:numRef>
          </c:val>
          <c:smooth val="0"/>
          <c:extLst>
            <c:ext xmlns:c16="http://schemas.microsoft.com/office/drawing/2014/chart" uri="{C3380CC4-5D6E-409C-BE32-E72D297353CC}">
              <c16:uniqueId val="{00000000-CA07-4A20-AB7B-D537E8D7854F}"/>
            </c:ext>
          </c:extLst>
        </c:ser>
        <c:ser>
          <c:idx val="1"/>
          <c:order val="1"/>
          <c:spPr>
            <a:ln w="12700">
              <a:solidFill>
                <a:srgbClr val="FF00FF"/>
              </a:solidFill>
              <a:prstDash val="solid"/>
            </a:ln>
          </c:spPr>
          <c:marker>
            <c:symbol val="square"/>
            <c:size val="5"/>
            <c:spPr>
              <a:solidFill>
                <a:srgbClr val="FF00FF"/>
              </a:solidFill>
              <a:ln>
                <a:solidFill>
                  <a:srgbClr val="FF00FF"/>
                </a:solidFill>
                <a:prstDash val="solid"/>
              </a:ln>
            </c:spPr>
          </c:marker>
          <c:cat>
            <c:numRef>
              <c:f>'[2021 Statistical Section.xlsx]Trend of EAV'!$A$41:$A$59</c:f>
              <c:numCache>
                <c:formatCode>General</c:formatCode>
                <c:ptCount val="19"/>
                <c:pt idx="0">
                  <c:v>2011</c:v>
                </c:pt>
                <c:pt idx="2">
                  <c:v>2012</c:v>
                </c:pt>
                <c:pt idx="4">
                  <c:v>2013</c:v>
                </c:pt>
                <c:pt idx="6">
                  <c:v>2014</c:v>
                </c:pt>
                <c:pt idx="8">
                  <c:v>2015</c:v>
                </c:pt>
                <c:pt idx="10">
                  <c:v>2016</c:v>
                </c:pt>
                <c:pt idx="12">
                  <c:v>2017</c:v>
                </c:pt>
                <c:pt idx="14">
                  <c:v>2018</c:v>
                </c:pt>
                <c:pt idx="16">
                  <c:v>2019</c:v>
                </c:pt>
                <c:pt idx="18">
                  <c:v>2020</c:v>
                </c:pt>
              </c:numCache>
            </c:numRef>
          </c:cat>
          <c:val>
            <c:numRef>
              <c:f>'Trend of EAV'!#REF!</c:f>
              <c:numCache>
                <c:formatCode>General</c:formatCode>
                <c:ptCount val="1"/>
                <c:pt idx="0">
                  <c:v>1</c:v>
                </c:pt>
              </c:numCache>
            </c:numRef>
          </c:val>
          <c:smooth val="0"/>
          <c:extLst>
            <c:ext xmlns:c16="http://schemas.microsoft.com/office/drawing/2014/chart" uri="{C3380CC4-5D6E-409C-BE32-E72D297353CC}">
              <c16:uniqueId val="{00000001-CA07-4A20-AB7B-D537E8D7854F}"/>
            </c:ext>
          </c:extLst>
        </c:ser>
        <c:ser>
          <c:idx val="2"/>
          <c:order val="2"/>
          <c:spPr>
            <a:ln w="28575">
              <a:noFill/>
            </a:ln>
          </c:spPr>
          <c:marker>
            <c:symbol val="square"/>
            <c:size val="6"/>
            <c:spPr>
              <a:solidFill>
                <a:srgbClr val="3366FF"/>
              </a:solidFill>
              <a:ln>
                <a:solidFill>
                  <a:srgbClr val="0000FF"/>
                </a:solidFill>
                <a:prstDash val="solid"/>
              </a:ln>
            </c:spPr>
          </c:marker>
          <c:cat>
            <c:numRef>
              <c:f>'[2021 Statistical Section.xlsx]Trend of EAV'!$A$41:$A$59</c:f>
              <c:numCache>
                <c:formatCode>General</c:formatCode>
                <c:ptCount val="19"/>
                <c:pt idx="0">
                  <c:v>2011</c:v>
                </c:pt>
                <c:pt idx="2">
                  <c:v>2012</c:v>
                </c:pt>
                <c:pt idx="4">
                  <c:v>2013</c:v>
                </c:pt>
                <c:pt idx="6">
                  <c:v>2014</c:v>
                </c:pt>
                <c:pt idx="8">
                  <c:v>2015</c:v>
                </c:pt>
                <c:pt idx="10">
                  <c:v>2016</c:v>
                </c:pt>
                <c:pt idx="12">
                  <c:v>2017</c:v>
                </c:pt>
                <c:pt idx="14">
                  <c:v>2018</c:v>
                </c:pt>
                <c:pt idx="16">
                  <c:v>2019</c:v>
                </c:pt>
                <c:pt idx="18">
                  <c:v>2020</c:v>
                </c:pt>
              </c:numCache>
            </c:numRef>
          </c:cat>
          <c:val>
            <c:numRef>
              <c:f>'[2021 Statistical Section.xlsx]Trend of EAV'!$C$41:$C$59</c:f>
              <c:numCache>
                <c:formatCode>General</c:formatCode>
                <c:ptCount val="19"/>
                <c:pt idx="0" formatCode="_(* #,##0_);_(* \(#,##0\);_(* &quot;-&quot;_);_(@_)">
                  <c:v>165169446</c:v>
                </c:pt>
                <c:pt idx="2" formatCode="_(* #,##0_);_(* \(#,##0\);_(* &quot;-&quot;_);_(@_)">
                  <c:v>144211783</c:v>
                </c:pt>
                <c:pt idx="4" formatCode="_(* #,##0_);_(* \(#,##0\);_(* &quot;-&quot;_);_(@_)">
                  <c:v>132579603</c:v>
                </c:pt>
                <c:pt idx="6" formatCode="_(* #,##0_);_(* \(#,##0\);_(* &quot;-&quot;_);_(@_)">
                  <c:v>123229196</c:v>
                </c:pt>
                <c:pt idx="8" formatCode="_(* #,##0_);_(* \(#,##0\);_(* &quot;-&quot;??_);_(@_)">
                  <c:v>119712678</c:v>
                </c:pt>
                <c:pt idx="10" formatCode="_(* #,##0_);_(* \(#,##0\);_(* &quot;-&quot;??_);_(@_)">
                  <c:v>127619822</c:v>
                </c:pt>
                <c:pt idx="12" formatCode="_(* #,##0_);_(* \(#,##0\);_(* &quot;-&quot;??_);_(@_)">
                  <c:v>131918779</c:v>
                </c:pt>
                <c:pt idx="14" formatCode="_(* #,##0_);_(* \(#,##0\);_(* &quot;-&quot;??_);_(@_)">
                  <c:v>128752192</c:v>
                </c:pt>
                <c:pt idx="16">
                  <c:v>129403796</c:v>
                </c:pt>
                <c:pt idx="18">
                  <c:v>133624027</c:v>
                </c:pt>
              </c:numCache>
            </c:numRef>
          </c:val>
          <c:smooth val="0"/>
          <c:extLst>
            <c:ext xmlns:c16="http://schemas.microsoft.com/office/drawing/2014/chart" uri="{C3380CC4-5D6E-409C-BE32-E72D297353CC}">
              <c16:uniqueId val="{00000002-CA07-4A20-AB7B-D537E8D7854F}"/>
            </c:ext>
          </c:extLst>
        </c:ser>
        <c:dLbls>
          <c:showLegendKey val="0"/>
          <c:showVal val="0"/>
          <c:showCatName val="0"/>
          <c:showSerName val="0"/>
          <c:showPercent val="0"/>
          <c:showBubbleSize val="0"/>
        </c:dLbls>
        <c:marker val="1"/>
        <c:smooth val="0"/>
        <c:axId val="203948832"/>
        <c:axId val="203948440"/>
      </c:lineChart>
      <c:catAx>
        <c:axId val="203948832"/>
        <c:scaling>
          <c:orientation val="minMax"/>
        </c:scaling>
        <c:delete val="0"/>
        <c:axPos val="b"/>
        <c:title>
          <c:tx>
            <c:rich>
              <a:bodyPr/>
              <a:lstStyle/>
              <a:p>
                <a:pPr>
                  <a:defRPr/>
                </a:pPr>
                <a:r>
                  <a:rPr lang="en-US"/>
                  <a:t>Year</a:t>
                </a:r>
                <a:r>
                  <a:rPr lang="en-US" baseline="0"/>
                  <a:t> of Levy</a:t>
                </a:r>
                <a:endParaRPr lang="en-US"/>
              </a:p>
            </c:rich>
          </c:tx>
          <c:layout>
            <c:manualLayout>
              <c:xMode val="edge"/>
              <c:yMode val="edge"/>
              <c:x val="0.43118458084305727"/>
              <c:y val="0.87270034696560039"/>
            </c:manualLayout>
          </c:layout>
          <c:overlay val="0"/>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03948440"/>
        <c:crossesAt val="100000000"/>
        <c:auto val="0"/>
        <c:lblAlgn val="ctr"/>
        <c:lblOffset val="100"/>
        <c:tickMarkSkip val="1"/>
        <c:noMultiLvlLbl val="0"/>
      </c:catAx>
      <c:valAx>
        <c:axId val="203948440"/>
        <c:scaling>
          <c:orientation val="minMax"/>
          <c:max val="240000000"/>
          <c:min val="100000000"/>
        </c:scaling>
        <c:delete val="0"/>
        <c:axPos val="l"/>
        <c:numFmt formatCode="\$#,##0" sourceLinked="0"/>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03948832"/>
        <c:crosses val="autoZero"/>
        <c:crossBetween val="midCat"/>
        <c:majorUnit val="20000000"/>
        <c:minorUnit val="1600000"/>
      </c:valAx>
      <c:spPr>
        <a:noFill/>
        <a:ln w="3175">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Times New Roman"/>
                <a:ea typeface="Times New Roman"/>
                <a:cs typeface="Times New Roman"/>
              </a:defRPr>
            </a:pPr>
            <a:r>
              <a:rPr lang="en-US"/>
              <a:t>SALES &amp; USE TAX RECEIVED</a:t>
            </a:r>
          </a:p>
        </c:rich>
      </c:tx>
      <c:layout>
        <c:manualLayout>
          <c:xMode val="edge"/>
          <c:yMode val="edge"/>
          <c:x val="0.3345075586481922"/>
          <c:y val="3.952569035666658E-2"/>
        </c:manualLayout>
      </c:layout>
      <c:overlay val="0"/>
      <c:spPr>
        <a:noFill/>
        <a:ln w="25400">
          <a:noFill/>
        </a:ln>
      </c:spPr>
    </c:title>
    <c:autoTitleDeleted val="0"/>
    <c:plotArea>
      <c:layout>
        <c:manualLayout>
          <c:layoutTarget val="inner"/>
          <c:xMode val="edge"/>
          <c:yMode val="edge"/>
          <c:x val="0.20644402810713552"/>
          <c:y val="0.22924959681244664"/>
          <c:w val="0.77112742346313778"/>
          <c:h val="0.52174013737520342"/>
        </c:manualLayout>
      </c:layout>
      <c:barChart>
        <c:barDir val="col"/>
        <c:grouping val="stacked"/>
        <c:varyColors val="0"/>
        <c:ser>
          <c:idx val="0"/>
          <c:order val="0"/>
          <c:tx>
            <c:strRef>
              <c:f>'[Sales Tax + Use Tax rec''d chart.xls]Sheet1 (2)'!$C$24:$C$33</c:f>
              <c:strCache>
                <c:ptCount val="10"/>
                <c:pt idx="0">
                  <c:v>572,014</c:v>
                </c:pt>
                <c:pt idx="1">
                  <c:v>644,932</c:v>
                </c:pt>
                <c:pt idx="2">
                  <c:v>652,690</c:v>
                </c:pt>
                <c:pt idx="3">
                  <c:v>700,145</c:v>
                </c:pt>
                <c:pt idx="4">
                  <c:v>682,614</c:v>
                </c:pt>
                <c:pt idx="5">
                  <c:v>739,339</c:v>
                </c:pt>
                <c:pt idx="6">
                  <c:v>813,510</c:v>
                </c:pt>
                <c:pt idx="7">
                  <c:v>849,018</c:v>
                </c:pt>
                <c:pt idx="8">
                  <c:v>916,943</c:v>
                </c:pt>
                <c:pt idx="9">
                  <c:v>1,056,728</c:v>
                </c:pt>
              </c:strCache>
            </c:strRef>
          </c:tx>
          <c:spPr>
            <a:solidFill>
              <a:srgbClr val="9999FF"/>
            </a:solidFill>
            <a:ln w="12700">
              <a:solidFill>
                <a:srgbClr val="000000"/>
              </a:solidFill>
              <a:prstDash val="solid"/>
            </a:ln>
          </c:spPr>
          <c:invertIfNegative val="0"/>
          <c:cat>
            <c:strRef>
              <c:f>'[Sales Tax + Use Tax rec''d chart.xls]Sheet1 (2)'!$A$26:$A$35</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'[Sales Tax + Use Tax rec''d chart.xls]Sheet1 (2)'!$A$24:$A$33</c:f>
              <c:numCache>
                <c:formatCode>General</c:formatCode>
                <c:ptCount val="10"/>
                <c:pt idx="0">
                  <c:v>2010</c:v>
                </c:pt>
                <c:pt idx="1">
                  <c:v>0</c:v>
                </c:pt>
                <c:pt idx="2">
                  <c:v>0</c:v>
                </c:pt>
                <c:pt idx="3">
                  <c:v>0</c:v>
                </c:pt>
                <c:pt idx="4">
                  <c:v>0</c:v>
                </c:pt>
                <c:pt idx="5">
                  <c:v>0</c:v>
                </c:pt>
                <c:pt idx="6">
                  <c:v>0</c:v>
                </c:pt>
                <c:pt idx="7">
                  <c:v>2017</c:v>
                </c:pt>
                <c:pt idx="8">
                  <c:v>2018</c:v>
                </c:pt>
                <c:pt idx="9">
                  <c:v>2019</c:v>
                </c:pt>
              </c:numCache>
            </c:numRef>
          </c:val>
          <c:extLst>
            <c:ext xmlns:c16="http://schemas.microsoft.com/office/drawing/2014/chart" uri="{C3380CC4-5D6E-409C-BE32-E72D297353CC}">
              <c16:uniqueId val="{00000000-79F0-4710-8365-3409C47BD407}"/>
            </c:ext>
          </c:extLst>
        </c:ser>
        <c:ser>
          <c:idx val="2"/>
          <c:order val="1"/>
          <c:tx>
            <c:strRef>
              <c:f>'[Sales Tax + Use Tax rec''d chart.xls]Sheet1 (2)'!$A$26:$A$35</c:f>
              <c:strCache>
                <c:ptCount val="10"/>
                <c:pt idx="0">
                  <c:v>2012</c:v>
                </c:pt>
                <c:pt idx="1">
                  <c:v>2013</c:v>
                </c:pt>
                <c:pt idx="2">
                  <c:v>2014</c:v>
                </c:pt>
                <c:pt idx="3">
                  <c:v>2015</c:v>
                </c:pt>
                <c:pt idx="4">
                  <c:v>2016</c:v>
                </c:pt>
                <c:pt idx="5">
                  <c:v>2017</c:v>
                </c:pt>
                <c:pt idx="6">
                  <c:v>2018</c:v>
                </c:pt>
                <c:pt idx="7">
                  <c:v>2019</c:v>
                </c:pt>
                <c:pt idx="8">
                  <c:v>2020</c:v>
                </c:pt>
                <c:pt idx="9">
                  <c:v>2021</c:v>
                </c:pt>
              </c:strCache>
            </c:strRef>
          </c:tx>
          <c:spPr>
            <a:solidFill>
              <a:srgbClr val="008000"/>
            </a:solidFill>
            <a:ln w="12700">
              <a:solidFill>
                <a:srgbClr val="000000"/>
              </a:solidFill>
              <a:prstDash val="solid"/>
            </a:ln>
          </c:spPr>
          <c:invertIfNegative val="0"/>
          <c:cat>
            <c:strRef>
              <c:f>'[Sales Tax + Use Tax rec''d chart.xls]Sheet1 (2)'!$A$26:$A$35</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'[Sales Tax + Use Tax rec''d chart.xls]Sheet1 (2)'!$C$26:$C$35</c:f>
              <c:numCache>
                <c:formatCode>#,##0</c:formatCode>
                <c:ptCount val="10"/>
                <c:pt idx="0">
                  <c:v>652690</c:v>
                </c:pt>
                <c:pt idx="1">
                  <c:v>700145</c:v>
                </c:pt>
                <c:pt idx="2">
                  <c:v>682614</c:v>
                </c:pt>
                <c:pt idx="3">
                  <c:v>739339</c:v>
                </c:pt>
                <c:pt idx="4">
                  <c:v>813510</c:v>
                </c:pt>
                <c:pt idx="5">
                  <c:v>849018</c:v>
                </c:pt>
                <c:pt idx="6">
                  <c:v>916943</c:v>
                </c:pt>
                <c:pt idx="7">
                  <c:v>1056728</c:v>
                </c:pt>
                <c:pt idx="8">
                  <c:v>1139942</c:v>
                </c:pt>
                <c:pt idx="9" formatCode="_(* #,##0_);_(* \(#,##0\);_(* &quot;-&quot;??_);_(@_)">
                  <c:v>1473710</c:v>
                </c:pt>
              </c:numCache>
            </c:numRef>
          </c:val>
          <c:extLst>
            <c:ext xmlns:c16="http://schemas.microsoft.com/office/drawing/2014/chart" uri="{C3380CC4-5D6E-409C-BE32-E72D297353CC}">
              <c16:uniqueId val="{00000001-79F0-4710-8365-3409C47BD407}"/>
            </c:ext>
          </c:extLst>
        </c:ser>
        <c:ser>
          <c:idx val="1"/>
          <c:order val="2"/>
          <c:tx>
            <c:strRef>
              <c:f>'[Sales Tax + Use Tax rec''d chart.xls]Sheet1 (2)'!$C$11:$C$31</c:f>
              <c:strCache>
                <c:ptCount val="21"/>
                <c:pt idx="0">
                  <c:v>1,118,070</c:v>
                </c:pt>
                <c:pt idx="1">
                  <c:v>1,022,357</c:v>
                </c:pt>
                <c:pt idx="2">
                  <c:v>1,031,614</c:v>
                </c:pt>
                <c:pt idx="3">
                  <c:v>1,030,428</c:v>
                </c:pt>
                <c:pt idx="4">
                  <c:v>956,692</c:v>
                </c:pt>
                <c:pt idx="5">
                  <c:v>831,716</c:v>
                </c:pt>
                <c:pt idx="6">
                  <c:v>661,086</c:v>
                </c:pt>
                <c:pt idx="7">
                  <c:v>672,693</c:v>
                </c:pt>
                <c:pt idx="8">
                  <c:v>623,870</c:v>
                </c:pt>
                <c:pt idx="9">
                  <c:v>667,657</c:v>
                </c:pt>
                <c:pt idx="10">
                  <c:v>672,140</c:v>
                </c:pt>
                <c:pt idx="11">
                  <c:v>674,808</c:v>
                </c:pt>
                <c:pt idx="12">
                  <c:v>628,982</c:v>
                </c:pt>
                <c:pt idx="13">
                  <c:v>572,014</c:v>
                </c:pt>
                <c:pt idx="14">
                  <c:v>644,932</c:v>
                </c:pt>
                <c:pt idx="15">
                  <c:v>652,690</c:v>
                </c:pt>
                <c:pt idx="16">
                  <c:v>700,145</c:v>
                </c:pt>
                <c:pt idx="17">
                  <c:v>682,614</c:v>
                </c:pt>
                <c:pt idx="18">
                  <c:v>739,339</c:v>
                </c:pt>
                <c:pt idx="19">
                  <c:v>813,510</c:v>
                </c:pt>
                <c:pt idx="20">
                  <c:v>849,018</c:v>
                </c:pt>
              </c:strCache>
            </c:strRef>
          </c:tx>
          <c:spPr>
            <a:solidFill>
              <a:srgbClr val="993366"/>
            </a:solidFill>
            <a:ln w="12700">
              <a:solidFill>
                <a:srgbClr val="000000"/>
              </a:solidFill>
              <a:prstDash val="solid"/>
            </a:ln>
          </c:spPr>
          <c:invertIfNegative val="0"/>
          <c:cat>
            <c:strRef>
              <c:f>'[Sales Tax + Use Tax rec''d chart.xls]Sheet1 (2)'!$A$26:$A$35</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Lit>
              <c:formatCode>General</c:formatCode>
              <c:ptCount val="1"/>
              <c:pt idx="0">
                <c:v>1</c:v>
              </c:pt>
            </c:numLit>
          </c:val>
          <c:extLst>
            <c:ext xmlns:c16="http://schemas.microsoft.com/office/drawing/2014/chart" uri="{C3380CC4-5D6E-409C-BE32-E72D297353CC}">
              <c16:uniqueId val="{00000002-79F0-4710-8365-3409C47BD407}"/>
            </c:ext>
          </c:extLst>
        </c:ser>
        <c:dLbls>
          <c:showLegendKey val="0"/>
          <c:showVal val="0"/>
          <c:showCatName val="0"/>
          <c:showSerName val="0"/>
          <c:showPercent val="0"/>
          <c:showBubbleSize val="0"/>
        </c:dLbls>
        <c:gapWidth val="150"/>
        <c:overlap val="100"/>
        <c:axId val="471062728"/>
        <c:axId val="1"/>
      </c:barChart>
      <c:catAx>
        <c:axId val="471062728"/>
        <c:scaling>
          <c:orientation val="minMax"/>
        </c:scaling>
        <c:delete val="0"/>
        <c:axPos val="b"/>
        <c:title>
          <c:tx>
            <c:rich>
              <a:bodyPr/>
              <a:lstStyle/>
              <a:p>
                <a:pPr>
                  <a:defRPr sz="800" b="1" i="0" u="none" strike="noStrike" baseline="0">
                    <a:solidFill>
                      <a:srgbClr val="000000"/>
                    </a:solidFill>
                    <a:latin typeface="Times New Roman"/>
                    <a:ea typeface="Times New Roman"/>
                    <a:cs typeface="Times New Roman"/>
                  </a:defRPr>
                </a:pPr>
                <a:r>
                  <a:rPr lang="en-US"/>
                  <a:t>Year Tax Received
</a:t>
                </a:r>
              </a:p>
            </c:rich>
          </c:tx>
          <c:layout>
            <c:manualLayout>
              <c:xMode val="edge"/>
              <c:yMode val="edge"/>
              <c:x val="0.48329268143807608"/>
              <c:y val="0.83794647028344749"/>
            </c:manualLayout>
          </c:layout>
          <c:overlay val="0"/>
          <c:spPr>
            <a:noFill/>
            <a:ln w="25400">
              <a:noFill/>
            </a:ln>
          </c:spPr>
        </c:title>
        <c:numFmt formatCode="General" sourceLinked="0"/>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en-US"/>
          </a:p>
        </c:txPr>
        <c:crossAx val="1"/>
        <c:crossesAt val="400000"/>
        <c:auto val="1"/>
        <c:lblAlgn val="ctr"/>
        <c:lblOffset val="100"/>
        <c:tickLblSkip val="1"/>
        <c:tickMarkSkip val="1"/>
        <c:noMultiLvlLbl val="0"/>
      </c:catAx>
      <c:valAx>
        <c:axId val="1"/>
        <c:scaling>
          <c:orientation val="minMax"/>
          <c:max val="1300000"/>
          <c:min val="500000"/>
        </c:scaling>
        <c:delete val="0"/>
        <c:axPos val="l"/>
        <c:majorGridlines/>
        <c:title>
          <c:tx>
            <c:rich>
              <a:bodyPr/>
              <a:lstStyle/>
              <a:p>
                <a:pPr>
                  <a:defRPr sz="800" b="1" i="0" u="none" strike="noStrike" baseline="0">
                    <a:solidFill>
                      <a:srgbClr val="000000"/>
                    </a:solidFill>
                    <a:latin typeface="Times New Roman"/>
                    <a:ea typeface="Times New Roman"/>
                    <a:cs typeface="Times New Roman"/>
                  </a:defRPr>
                </a:pPr>
                <a:r>
                  <a:rPr lang="en-US"/>
                  <a:t>Dollars($)</a:t>
                </a:r>
              </a:p>
            </c:rich>
          </c:tx>
          <c:layout>
            <c:manualLayout>
              <c:xMode val="edge"/>
              <c:yMode val="edge"/>
              <c:x val="5.457754989928585E-2"/>
              <c:y val="0.3794473749033798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rtl="0">
              <a:defRPr sz="800" b="1" i="0" u="none" strike="noStrike" baseline="0">
                <a:solidFill>
                  <a:srgbClr val="000000"/>
                </a:solidFill>
                <a:latin typeface="Times New Roman"/>
                <a:ea typeface="Times New Roman"/>
                <a:cs typeface="Times New Roman"/>
              </a:defRPr>
            </a:pPr>
            <a:endParaRPr lang="en-US"/>
          </a:p>
        </c:txPr>
        <c:crossAx val="471062728"/>
        <c:crosses val="autoZero"/>
        <c:crossBetween val="between"/>
        <c:majorUnit val="100000"/>
        <c:minorUnit val="100000"/>
      </c:valAx>
    </c:plotArea>
    <c:plotVisOnly val="0"/>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baseline="0">
                <a:solidFill>
                  <a:srgbClr val="000000"/>
                </a:solidFill>
                <a:latin typeface="Arial"/>
                <a:ea typeface="Arial"/>
                <a:cs typeface="Arial"/>
              </a:defRPr>
            </a:pPr>
            <a:r>
              <a:rPr lang="en-US"/>
              <a:t>Village of Park Forest
General Fund Selected Revenues
FY 22/23 Budget</a:t>
            </a:r>
          </a:p>
        </c:rich>
      </c:tx>
      <c:layout>
        <c:manualLayout>
          <c:xMode val="edge"/>
          <c:yMode val="edge"/>
          <c:x val="0.27919391735869081"/>
          <c:y val="1.4944338854194945E-2"/>
        </c:manualLayout>
      </c:layout>
      <c:overlay val="0"/>
      <c:spPr>
        <a:noFill/>
        <a:ln>
          <a:noFill/>
        </a:ln>
        <a:effectLst/>
      </c:spPr>
      <c:txPr>
        <a:bodyPr rot="0" spcFirstLastPara="1" vertOverflow="ellipsis" vert="horz" wrap="square" anchor="ctr" anchorCtr="1"/>
        <a:lstStyle/>
        <a:p>
          <a:pPr>
            <a:defRPr sz="1080" b="0" i="0" u="none" strike="noStrike" kern="1200" baseline="0">
              <a:solidFill>
                <a:srgbClr val="000000"/>
              </a:solidFill>
              <a:latin typeface="Arial"/>
              <a:ea typeface="Arial"/>
              <a:cs typeface="Arial"/>
            </a:defRPr>
          </a:pPr>
          <a:endParaRPr lang="en-US"/>
        </a:p>
      </c:txPr>
    </c:title>
    <c:autoTitleDeleted val="0"/>
    <c:plotArea>
      <c:layout>
        <c:manualLayout>
          <c:layoutTarget val="inner"/>
          <c:xMode val="edge"/>
          <c:yMode val="edge"/>
          <c:x val="0.15469590379071471"/>
          <c:y val="0.17295584133488018"/>
          <c:w val="0.56123391850608839"/>
          <c:h val="0.57183126403870366"/>
        </c:manualLayout>
      </c:layout>
      <c:barChart>
        <c:barDir val="col"/>
        <c:grouping val="clustered"/>
        <c:varyColors val="0"/>
        <c:ser>
          <c:idx val="6"/>
          <c:order val="0"/>
          <c:tx>
            <c:strRef>
              <c:f>'[Revenue Charts.xlsx]GF Selected Rev Data'!$A$38</c:f>
              <c:strCache>
                <c:ptCount val="1"/>
                <c:pt idx="0">
                  <c:v>FY 13/14 Actual</c:v>
                </c:pt>
              </c:strCache>
            </c:strRef>
          </c:tx>
          <c:spPr>
            <a:solidFill>
              <a:schemeClr val="accent1">
                <a:lumMod val="60000"/>
              </a:schemeClr>
            </a:solidFill>
            <a:ln>
              <a:noFill/>
            </a:ln>
            <a:effectLst/>
          </c:spPr>
          <c:invertIfNegative val="0"/>
          <c:cat>
            <c:strRef>
              <c:f>'[Revenue Charts.xlsx]GF Selected Rev Data'!$B$24:$E$24</c:f>
              <c:strCache>
                <c:ptCount val="4"/>
                <c:pt idx="0">
                  <c:v>Property Taxes</c:v>
                </c:pt>
                <c:pt idx="1">
                  <c:v>Sales Tax</c:v>
                </c:pt>
                <c:pt idx="2">
                  <c:v>State Income Tax</c:v>
                </c:pt>
                <c:pt idx="3">
                  <c:v>Utility Tax</c:v>
                </c:pt>
              </c:strCache>
            </c:strRef>
          </c:cat>
          <c:val>
            <c:numRef>
              <c:f>'[Revenue Charts.xlsx]GF Selected Rev Data'!$B$38:$E$38</c:f>
              <c:numCache>
                <c:formatCode>#,##0</c:formatCode>
                <c:ptCount val="4"/>
                <c:pt idx="0">
                  <c:v>12296195</c:v>
                </c:pt>
                <c:pt idx="1">
                  <c:v>705591</c:v>
                </c:pt>
                <c:pt idx="2">
                  <c:v>2104560</c:v>
                </c:pt>
                <c:pt idx="3">
                  <c:v>1315502</c:v>
                </c:pt>
              </c:numCache>
            </c:numRef>
          </c:val>
          <c:extLst>
            <c:ext xmlns:c16="http://schemas.microsoft.com/office/drawing/2014/chart" uri="{C3380CC4-5D6E-409C-BE32-E72D297353CC}">
              <c16:uniqueId val="{00000000-AE0A-4104-8017-85C55781C85F}"/>
            </c:ext>
          </c:extLst>
        </c:ser>
        <c:ser>
          <c:idx val="7"/>
          <c:order val="1"/>
          <c:tx>
            <c:strRef>
              <c:f>'[Revenue Charts.xlsx]GF Selected Rev Data'!$A$39</c:f>
              <c:strCache>
                <c:ptCount val="1"/>
                <c:pt idx="0">
                  <c:v>FY 14/15 Actual</c:v>
                </c:pt>
              </c:strCache>
            </c:strRef>
          </c:tx>
          <c:spPr>
            <a:solidFill>
              <a:schemeClr val="accent2">
                <a:lumMod val="60000"/>
              </a:schemeClr>
            </a:solidFill>
            <a:ln>
              <a:noFill/>
            </a:ln>
            <a:effectLst/>
          </c:spPr>
          <c:invertIfNegative val="0"/>
          <c:cat>
            <c:strRef>
              <c:f>'[Revenue Charts.xlsx]GF Selected Rev Data'!$B$24:$E$24</c:f>
              <c:strCache>
                <c:ptCount val="4"/>
                <c:pt idx="0">
                  <c:v>Property Taxes</c:v>
                </c:pt>
                <c:pt idx="1">
                  <c:v>Sales Tax</c:v>
                </c:pt>
                <c:pt idx="2">
                  <c:v>State Income Tax</c:v>
                </c:pt>
                <c:pt idx="3">
                  <c:v>Utility Tax</c:v>
                </c:pt>
              </c:strCache>
            </c:strRef>
          </c:cat>
          <c:val>
            <c:numRef>
              <c:f>'[Revenue Charts.xlsx]GF Selected Rev Data'!$B$39:$E$39</c:f>
              <c:numCache>
                <c:formatCode>#,##0</c:formatCode>
                <c:ptCount val="4"/>
                <c:pt idx="0">
                  <c:v>12471995</c:v>
                </c:pt>
                <c:pt idx="1">
                  <c:v>779014</c:v>
                </c:pt>
                <c:pt idx="2">
                  <c:v>2279826</c:v>
                </c:pt>
                <c:pt idx="3">
                  <c:v>1250760</c:v>
                </c:pt>
              </c:numCache>
            </c:numRef>
          </c:val>
          <c:extLst>
            <c:ext xmlns:c16="http://schemas.microsoft.com/office/drawing/2014/chart" uri="{C3380CC4-5D6E-409C-BE32-E72D297353CC}">
              <c16:uniqueId val="{00000001-AE0A-4104-8017-85C55781C85F}"/>
            </c:ext>
          </c:extLst>
        </c:ser>
        <c:ser>
          <c:idx val="8"/>
          <c:order val="2"/>
          <c:tx>
            <c:strRef>
              <c:f>'[Revenue Charts.xlsx]GF Selected Rev Data'!$A$40</c:f>
              <c:strCache>
                <c:ptCount val="1"/>
                <c:pt idx="0">
                  <c:v>FY 15/16 Actual</c:v>
                </c:pt>
              </c:strCache>
            </c:strRef>
          </c:tx>
          <c:spPr>
            <a:solidFill>
              <a:schemeClr val="accent3">
                <a:lumMod val="60000"/>
              </a:schemeClr>
            </a:solidFill>
            <a:ln>
              <a:noFill/>
            </a:ln>
            <a:effectLst/>
          </c:spPr>
          <c:invertIfNegative val="0"/>
          <c:cat>
            <c:strRef>
              <c:f>'[Revenue Charts.xlsx]GF Selected Rev Data'!$B$24:$E$24</c:f>
              <c:strCache>
                <c:ptCount val="4"/>
                <c:pt idx="0">
                  <c:v>Property Taxes</c:v>
                </c:pt>
                <c:pt idx="1">
                  <c:v>Sales Tax</c:v>
                </c:pt>
                <c:pt idx="2">
                  <c:v>State Income Tax</c:v>
                </c:pt>
                <c:pt idx="3">
                  <c:v>Utility Tax</c:v>
                </c:pt>
              </c:strCache>
            </c:strRef>
          </c:cat>
          <c:val>
            <c:numRef>
              <c:f>'[Revenue Charts.xlsx]GF Selected Rev Data'!$B$40:$E$40</c:f>
              <c:numCache>
                <c:formatCode>#,##0</c:formatCode>
                <c:ptCount val="4"/>
                <c:pt idx="0">
                  <c:v>13011913</c:v>
                </c:pt>
                <c:pt idx="1">
                  <c:v>1517772</c:v>
                </c:pt>
                <c:pt idx="2">
                  <c:v>2927717</c:v>
                </c:pt>
                <c:pt idx="3">
                  <c:v>980176</c:v>
                </c:pt>
              </c:numCache>
            </c:numRef>
          </c:val>
          <c:extLst>
            <c:ext xmlns:c16="http://schemas.microsoft.com/office/drawing/2014/chart" uri="{C3380CC4-5D6E-409C-BE32-E72D297353CC}">
              <c16:uniqueId val="{00000002-AE0A-4104-8017-85C55781C85F}"/>
            </c:ext>
          </c:extLst>
        </c:ser>
        <c:ser>
          <c:idx val="9"/>
          <c:order val="3"/>
          <c:tx>
            <c:strRef>
              <c:f>'[Revenue Charts.xlsx]GF Selected Rev Data'!$A$41</c:f>
              <c:strCache>
                <c:ptCount val="1"/>
                <c:pt idx="0">
                  <c:v>FY 16/17 Actual</c:v>
                </c:pt>
              </c:strCache>
            </c:strRef>
          </c:tx>
          <c:spPr>
            <a:solidFill>
              <a:schemeClr val="accent4">
                <a:lumMod val="60000"/>
              </a:schemeClr>
            </a:solidFill>
            <a:ln>
              <a:noFill/>
            </a:ln>
            <a:effectLst/>
          </c:spPr>
          <c:invertIfNegative val="0"/>
          <c:cat>
            <c:strRef>
              <c:f>'[Revenue Charts.xlsx]GF Selected Rev Data'!$B$24:$E$24</c:f>
              <c:strCache>
                <c:ptCount val="4"/>
                <c:pt idx="0">
                  <c:v>Property Taxes</c:v>
                </c:pt>
                <c:pt idx="1">
                  <c:v>Sales Tax</c:v>
                </c:pt>
                <c:pt idx="2">
                  <c:v>State Income Tax</c:v>
                </c:pt>
                <c:pt idx="3">
                  <c:v>Utility Tax</c:v>
                </c:pt>
              </c:strCache>
            </c:strRef>
          </c:cat>
          <c:val>
            <c:numRef>
              <c:f>'[Revenue Charts.xlsx]GF Selected Rev Data'!$B$41:$E$41</c:f>
              <c:numCache>
                <c:formatCode>#,##0</c:formatCode>
                <c:ptCount val="4"/>
                <c:pt idx="0">
                  <c:v>14057625</c:v>
                </c:pt>
                <c:pt idx="1">
                  <c:v>857532</c:v>
                </c:pt>
                <c:pt idx="2">
                  <c:v>2078045</c:v>
                </c:pt>
                <c:pt idx="3">
                  <c:v>1128093</c:v>
                </c:pt>
              </c:numCache>
            </c:numRef>
          </c:val>
          <c:extLst>
            <c:ext xmlns:c16="http://schemas.microsoft.com/office/drawing/2014/chart" uri="{C3380CC4-5D6E-409C-BE32-E72D297353CC}">
              <c16:uniqueId val="{00000003-AE0A-4104-8017-85C55781C85F}"/>
            </c:ext>
          </c:extLst>
        </c:ser>
        <c:ser>
          <c:idx val="12"/>
          <c:order val="4"/>
          <c:tx>
            <c:v>FY 17/18 Actual</c:v>
          </c:tx>
          <c:spPr>
            <a:solidFill>
              <a:schemeClr val="accent1">
                <a:lumMod val="80000"/>
                <a:lumOff val="20000"/>
              </a:schemeClr>
            </a:solidFill>
            <a:ln>
              <a:noFill/>
            </a:ln>
            <a:effectLst/>
          </c:spPr>
          <c:invertIfNegative val="0"/>
          <c:cat>
            <c:strRef>
              <c:f>'[Revenue Charts.xlsx]GF Selected Rev Data'!$B$24:$E$24</c:f>
              <c:strCache>
                <c:ptCount val="4"/>
                <c:pt idx="0">
                  <c:v>Property Taxes</c:v>
                </c:pt>
                <c:pt idx="1">
                  <c:v>Sales Tax</c:v>
                </c:pt>
                <c:pt idx="2">
                  <c:v>State Income Tax</c:v>
                </c:pt>
                <c:pt idx="3">
                  <c:v>Utility Tax</c:v>
                </c:pt>
              </c:strCache>
            </c:strRef>
          </c:cat>
          <c:val>
            <c:numRef>
              <c:f>'[Revenue Charts.xlsx]GF Selected Rev Data'!$B$42:$E$42</c:f>
              <c:numCache>
                <c:formatCode>#,##0</c:formatCode>
                <c:ptCount val="4"/>
                <c:pt idx="0">
                  <c:v>14032336</c:v>
                </c:pt>
                <c:pt idx="1">
                  <c:v>911527</c:v>
                </c:pt>
                <c:pt idx="2">
                  <c:v>1973253</c:v>
                </c:pt>
                <c:pt idx="3">
                  <c:v>1060843</c:v>
                </c:pt>
              </c:numCache>
            </c:numRef>
          </c:val>
          <c:extLst>
            <c:ext xmlns:c16="http://schemas.microsoft.com/office/drawing/2014/chart" uri="{C3380CC4-5D6E-409C-BE32-E72D297353CC}">
              <c16:uniqueId val="{00000004-AE0A-4104-8017-85C55781C85F}"/>
            </c:ext>
          </c:extLst>
        </c:ser>
        <c:ser>
          <c:idx val="10"/>
          <c:order val="5"/>
          <c:tx>
            <c:strRef>
              <c:f>'[Revenue Charts.xlsx]GF Selected Rev Data'!$A$43</c:f>
              <c:strCache>
                <c:ptCount val="1"/>
                <c:pt idx="0">
                  <c:v>FY18/19 Actual</c:v>
                </c:pt>
              </c:strCache>
            </c:strRef>
          </c:tx>
          <c:spPr>
            <a:solidFill>
              <a:schemeClr val="accent5">
                <a:lumMod val="60000"/>
              </a:schemeClr>
            </a:solidFill>
            <a:ln>
              <a:noFill/>
            </a:ln>
            <a:effectLst/>
          </c:spPr>
          <c:invertIfNegative val="0"/>
          <c:cat>
            <c:strRef>
              <c:f>'[Revenue Charts.xlsx]GF Selected Rev Data'!$B$24:$E$24</c:f>
              <c:strCache>
                <c:ptCount val="4"/>
                <c:pt idx="0">
                  <c:v>Property Taxes</c:v>
                </c:pt>
                <c:pt idx="1">
                  <c:v>Sales Tax</c:v>
                </c:pt>
                <c:pt idx="2">
                  <c:v>State Income Tax</c:v>
                </c:pt>
                <c:pt idx="3">
                  <c:v>Utility Tax</c:v>
                </c:pt>
              </c:strCache>
            </c:strRef>
          </c:cat>
          <c:val>
            <c:numRef>
              <c:f>'[Revenue Charts.xlsx]GF Selected Rev Data'!$B$43:$E$43</c:f>
              <c:numCache>
                <c:formatCode>#,##0</c:formatCode>
                <c:ptCount val="4"/>
                <c:pt idx="0">
                  <c:v>14311561</c:v>
                </c:pt>
                <c:pt idx="1">
                  <c:v>1048762</c:v>
                </c:pt>
                <c:pt idx="2">
                  <c:v>2289854</c:v>
                </c:pt>
                <c:pt idx="3">
                  <c:v>1036108</c:v>
                </c:pt>
              </c:numCache>
            </c:numRef>
          </c:val>
          <c:extLst>
            <c:ext xmlns:c16="http://schemas.microsoft.com/office/drawing/2014/chart" uri="{C3380CC4-5D6E-409C-BE32-E72D297353CC}">
              <c16:uniqueId val="{00000005-AE0A-4104-8017-85C55781C85F}"/>
            </c:ext>
          </c:extLst>
        </c:ser>
        <c:ser>
          <c:idx val="2"/>
          <c:order val="6"/>
          <c:tx>
            <c:strRef>
              <c:f>'[Revenue Charts.xlsx]GF Selected Rev Data'!$A$32</c:f>
              <c:strCache>
                <c:ptCount val="1"/>
                <c:pt idx="0">
                  <c:v>FY 07/08 Actual</c:v>
                </c:pt>
              </c:strCache>
            </c:strRef>
          </c:tx>
          <c:spPr>
            <a:solidFill>
              <a:schemeClr val="accent3"/>
            </a:solidFill>
            <a:ln>
              <a:noFill/>
            </a:ln>
            <a:effectLst/>
          </c:spPr>
          <c:invertIfNegative val="0"/>
          <c:cat>
            <c:strRef>
              <c:f>'[Revenue Charts.xlsx]GF Selected Rev Data'!$B$24:$E$24</c:f>
              <c:strCache>
                <c:ptCount val="4"/>
                <c:pt idx="0">
                  <c:v>Property Taxes</c:v>
                </c:pt>
                <c:pt idx="1">
                  <c:v>Sales Tax</c:v>
                </c:pt>
                <c:pt idx="2">
                  <c:v>State Income Tax</c:v>
                </c:pt>
                <c:pt idx="3">
                  <c:v>Utility Tax</c:v>
                </c:pt>
              </c:strCache>
            </c:strRef>
          </c:cat>
          <c:val>
            <c:numRef>
              <c:f>'[Revenue Charts.xlsx]GF Selected Rev Data'!$B$32:$E$32</c:f>
            </c:numRef>
          </c:val>
          <c:extLst>
            <c:ext xmlns:c16="http://schemas.microsoft.com/office/drawing/2014/chart" uri="{C3380CC4-5D6E-409C-BE32-E72D297353CC}">
              <c16:uniqueId val="{00000006-AE0A-4104-8017-85C55781C85F}"/>
            </c:ext>
          </c:extLst>
        </c:ser>
        <c:ser>
          <c:idx val="13"/>
          <c:order val="7"/>
          <c:tx>
            <c:v>FY19/20 Actual</c:v>
          </c:tx>
          <c:spPr>
            <a:solidFill>
              <a:schemeClr val="accent2">
                <a:lumMod val="80000"/>
                <a:lumOff val="20000"/>
              </a:schemeClr>
            </a:solidFill>
            <a:ln>
              <a:noFill/>
            </a:ln>
            <a:effectLst/>
          </c:spPr>
          <c:invertIfNegative val="0"/>
          <c:val>
            <c:numRef>
              <c:f>'[Revenue Charts.xlsx]GF Selected Rev Data'!$B$44:$E$44</c:f>
              <c:numCache>
                <c:formatCode>#,##0</c:formatCode>
                <c:ptCount val="4"/>
                <c:pt idx="0">
                  <c:v>14050514</c:v>
                </c:pt>
                <c:pt idx="1">
                  <c:v>1192933</c:v>
                </c:pt>
                <c:pt idx="2">
                  <c:v>2173253</c:v>
                </c:pt>
                <c:pt idx="3">
                  <c:v>957088</c:v>
                </c:pt>
              </c:numCache>
            </c:numRef>
          </c:val>
          <c:extLst>
            <c:ext xmlns:c16="http://schemas.microsoft.com/office/drawing/2014/chart" uri="{C3380CC4-5D6E-409C-BE32-E72D297353CC}">
              <c16:uniqueId val="{00000007-AE0A-4104-8017-85C55781C85F}"/>
            </c:ext>
          </c:extLst>
        </c:ser>
        <c:ser>
          <c:idx val="11"/>
          <c:order val="8"/>
          <c:tx>
            <c:v>FY20/21 Actual</c:v>
          </c:tx>
          <c:spPr>
            <a:solidFill>
              <a:schemeClr val="accent6">
                <a:lumMod val="60000"/>
              </a:schemeClr>
            </a:solidFill>
            <a:ln>
              <a:noFill/>
            </a:ln>
            <a:effectLst/>
          </c:spPr>
          <c:invertIfNegative val="0"/>
          <c:val>
            <c:numRef>
              <c:f>'[Revenue Charts.xlsx]GF Selected Rev Data'!$B$46:$E$46</c:f>
              <c:numCache>
                <c:formatCode>#,##0</c:formatCode>
                <c:ptCount val="4"/>
                <c:pt idx="0">
                  <c:v>16161437</c:v>
                </c:pt>
                <c:pt idx="1">
                  <c:v>1574324</c:v>
                </c:pt>
                <c:pt idx="2">
                  <c:v>2925576</c:v>
                </c:pt>
                <c:pt idx="3">
                  <c:v>1015340</c:v>
                </c:pt>
              </c:numCache>
            </c:numRef>
          </c:val>
          <c:extLst>
            <c:ext xmlns:c16="http://schemas.microsoft.com/office/drawing/2014/chart" uri="{C3380CC4-5D6E-409C-BE32-E72D297353CC}">
              <c16:uniqueId val="{00000008-AE0A-4104-8017-85C55781C85F}"/>
            </c:ext>
          </c:extLst>
        </c:ser>
        <c:ser>
          <c:idx val="1"/>
          <c:order val="9"/>
          <c:tx>
            <c:strRef>
              <c:f>'[Revenue Charts.xlsx]GF Selected Rev Data'!$A$46</c:f>
              <c:strCache>
                <c:ptCount val="1"/>
                <c:pt idx="0">
                  <c:v>FY21/22 Estimate</c:v>
                </c:pt>
              </c:strCache>
            </c:strRef>
          </c:tx>
          <c:spPr>
            <a:solidFill>
              <a:schemeClr val="accent2"/>
            </a:solidFill>
            <a:ln>
              <a:noFill/>
            </a:ln>
            <a:effectLst/>
          </c:spPr>
          <c:invertIfNegative val="0"/>
          <c:val>
            <c:numRef>
              <c:f>'[Revenue Charts.xlsx]GF Selected Rev Data'!$B$46:$E$46</c:f>
              <c:numCache>
                <c:formatCode>#,##0</c:formatCode>
                <c:ptCount val="4"/>
                <c:pt idx="0">
                  <c:v>16161437</c:v>
                </c:pt>
                <c:pt idx="1">
                  <c:v>1574324</c:v>
                </c:pt>
                <c:pt idx="2">
                  <c:v>2925576</c:v>
                </c:pt>
                <c:pt idx="3">
                  <c:v>1015340</c:v>
                </c:pt>
              </c:numCache>
            </c:numRef>
          </c:val>
          <c:extLst>
            <c:ext xmlns:c16="http://schemas.microsoft.com/office/drawing/2014/chart" uri="{C3380CC4-5D6E-409C-BE32-E72D297353CC}">
              <c16:uniqueId val="{00000009-AE0A-4104-8017-85C55781C85F}"/>
            </c:ext>
          </c:extLst>
        </c:ser>
        <c:ser>
          <c:idx val="0"/>
          <c:order val="10"/>
          <c:tx>
            <c:strRef>
              <c:f>'[Revenue Charts.xlsx]GF Selected Rev Data'!$A$47</c:f>
              <c:strCache>
                <c:ptCount val="1"/>
                <c:pt idx="0">
                  <c:v>FY22/23 Proposed</c:v>
                </c:pt>
              </c:strCache>
            </c:strRef>
          </c:tx>
          <c:spPr>
            <a:solidFill>
              <a:schemeClr val="accent1"/>
            </a:solidFill>
            <a:ln>
              <a:noFill/>
            </a:ln>
            <a:effectLst/>
          </c:spPr>
          <c:invertIfNegative val="0"/>
          <c:val>
            <c:numRef>
              <c:f>'[Revenue Charts.xlsx]GF Selected Rev Data'!$B$47:$E$47</c:f>
              <c:numCache>
                <c:formatCode>#,##0</c:formatCode>
                <c:ptCount val="4"/>
                <c:pt idx="0">
                  <c:v>17119470</c:v>
                </c:pt>
                <c:pt idx="1">
                  <c:v>1616735</c:v>
                </c:pt>
                <c:pt idx="2">
                  <c:v>2869190</c:v>
                </c:pt>
                <c:pt idx="3">
                  <c:v>1000000</c:v>
                </c:pt>
              </c:numCache>
            </c:numRef>
          </c:val>
          <c:extLst>
            <c:ext xmlns:c16="http://schemas.microsoft.com/office/drawing/2014/chart" uri="{C3380CC4-5D6E-409C-BE32-E72D297353CC}">
              <c16:uniqueId val="{0000000A-AE0A-4104-8017-85C55781C85F}"/>
            </c:ext>
          </c:extLst>
        </c:ser>
        <c:dLbls>
          <c:showLegendKey val="0"/>
          <c:showVal val="0"/>
          <c:showCatName val="0"/>
          <c:showSerName val="0"/>
          <c:showPercent val="0"/>
          <c:showBubbleSize val="0"/>
        </c:dLbls>
        <c:gapWidth val="150"/>
        <c:axId val="245993712"/>
        <c:axId val="245993320"/>
      </c:barChart>
      <c:catAx>
        <c:axId val="245993712"/>
        <c:scaling>
          <c:orientation val="minMax"/>
        </c:scaling>
        <c:delete val="0"/>
        <c:axPos val="b"/>
        <c:numFmt formatCode="General" sourceLinked="1"/>
        <c:majorTickMark val="out"/>
        <c:minorTickMark val="none"/>
        <c:tickLblPos val="nextTo"/>
        <c:spPr>
          <a:noFill/>
          <a:ln w="3175" cap="flat" cmpd="sng" algn="ctr">
            <a:solidFill>
              <a:srgbClr val="000000"/>
            </a:solidFill>
            <a:prstDash val="solid"/>
            <a:round/>
          </a:ln>
          <a:effectLst/>
        </c:spPr>
        <c:txPr>
          <a:bodyPr rot="0" spcFirstLastPara="1" vertOverflow="ellipsis" wrap="square" anchor="ctr" anchorCtr="1"/>
          <a:lstStyle/>
          <a:p>
            <a:pPr>
              <a:defRPr sz="900" b="0" i="0" u="none" strike="noStrike" kern="1200" baseline="0">
                <a:solidFill>
                  <a:srgbClr val="000000"/>
                </a:solidFill>
                <a:latin typeface="Arial"/>
                <a:ea typeface="Arial"/>
                <a:cs typeface="Arial"/>
              </a:defRPr>
            </a:pPr>
            <a:endParaRPr lang="en-US"/>
          </a:p>
        </c:txPr>
        <c:crossAx val="245993320"/>
        <c:crosses val="autoZero"/>
        <c:auto val="1"/>
        <c:lblAlgn val="ctr"/>
        <c:lblOffset val="100"/>
        <c:tickLblSkip val="1"/>
        <c:tickMarkSkip val="1"/>
        <c:noMultiLvlLbl val="0"/>
      </c:catAx>
      <c:valAx>
        <c:axId val="245993320"/>
        <c:scaling>
          <c:orientation val="minMax"/>
        </c:scaling>
        <c:delete val="0"/>
        <c:axPos val="l"/>
        <c:majorGridlines>
          <c:spPr>
            <a:ln w="3175" cap="flat" cmpd="sng" algn="ctr">
              <a:solidFill>
                <a:srgbClr val="000000"/>
              </a:solidFill>
              <a:prstDash val="solid"/>
              <a:round/>
            </a:ln>
            <a:effectLst/>
          </c:spPr>
        </c:majorGridlines>
        <c:numFmt formatCode="#,##0" sourceLinked="1"/>
        <c:majorTickMark val="out"/>
        <c:minorTickMark val="none"/>
        <c:tickLblPos val="nextTo"/>
        <c:spPr>
          <a:noFill/>
          <a:ln w="3175" cap="flat" cmpd="sng" algn="ctr">
            <a:solidFill>
              <a:srgbClr val="000000"/>
            </a:solidFill>
            <a:prstDash val="solid"/>
            <a:round/>
          </a:ln>
          <a:effectLst/>
        </c:spPr>
        <c:txPr>
          <a:bodyPr rot="0" spcFirstLastPara="1" vertOverflow="ellipsis" wrap="square" anchor="ctr" anchorCtr="1"/>
          <a:lstStyle/>
          <a:p>
            <a:pPr>
              <a:defRPr sz="900" b="0" i="0" u="none" strike="noStrike" kern="1200" baseline="0">
                <a:solidFill>
                  <a:srgbClr val="000000"/>
                </a:solidFill>
                <a:latin typeface="Arial"/>
                <a:ea typeface="Arial"/>
                <a:cs typeface="Arial"/>
              </a:defRPr>
            </a:pPr>
            <a:endParaRPr lang="en-US"/>
          </a:p>
        </c:txPr>
        <c:crossAx val="245993712"/>
        <c:crosses val="autoZero"/>
        <c:crossBetween val="between"/>
      </c:valAx>
      <c:spPr>
        <a:solidFill>
          <a:srgbClr val="C0C0C0"/>
        </a:solidFill>
        <a:ln w="12700">
          <a:solidFill>
            <a:sysClr val="windowText" lastClr="000000"/>
          </a:solidFill>
          <a:prstDash val="solid"/>
        </a:ln>
        <a:effectLst/>
      </c:spPr>
    </c:plotArea>
    <c:legend>
      <c:legendPos val="r"/>
      <c:layout>
        <c:manualLayout>
          <c:xMode val="edge"/>
          <c:yMode val="edge"/>
          <c:x val="0.73810077019061138"/>
          <c:y val="0.15624095969195073"/>
          <c:w val="0.22763650445333677"/>
          <c:h val="0.61953076790166117"/>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Arial"/>
              <a:ea typeface="Arial"/>
              <a:cs typeface="Arial"/>
            </a:defRPr>
          </a:pPr>
          <a:endParaRPr lang="en-US"/>
        </a:p>
      </c:txPr>
    </c:legend>
    <c:plotVisOnly val="1"/>
    <c:dispBlanksAs val="gap"/>
    <c:showDLblsOverMax val="0"/>
  </c:chart>
  <c:spPr>
    <a:noFill/>
    <a:ln w="9525" cap="flat" cmpd="sng" algn="ctr">
      <a:noFill/>
      <a:prstDash val="solid"/>
      <a:round/>
    </a:ln>
    <a:effectLst/>
  </c:spPr>
  <c:txPr>
    <a:bodyPr/>
    <a:lstStyle/>
    <a:p>
      <a:pPr>
        <a:defRPr sz="900" b="0" i="0" u="none" strike="noStrike" baseline="0">
          <a:solidFill>
            <a:srgbClr val="000000"/>
          </a:solidFill>
          <a:latin typeface="Arial"/>
          <a:ea typeface="Arial"/>
          <a:cs typeface="Aria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Cell Tower Revenue</a:t>
            </a:r>
          </a:p>
        </c:rich>
      </c:tx>
      <c:layout>
        <c:manualLayout>
          <c:xMode val="edge"/>
          <c:yMode val="edge"/>
          <c:x val="0.41406734720340538"/>
          <c:y val="4.4619422572178477E-2"/>
        </c:manualLayout>
      </c:layout>
      <c:overlay val="0"/>
      <c:spPr>
        <a:noFill/>
        <a:ln w="25400">
          <a:noFill/>
        </a:ln>
      </c:spPr>
    </c:title>
    <c:autoTitleDeleted val="0"/>
    <c:plotArea>
      <c:layout>
        <c:manualLayout>
          <c:layoutTarget val="inner"/>
          <c:xMode val="edge"/>
          <c:yMode val="edge"/>
          <c:x val="0.22665756066206011"/>
          <c:y val="0.21470814387638165"/>
          <c:w val="0.67889908256880738"/>
          <c:h val="0.56299212598425197"/>
        </c:manualLayout>
      </c:layout>
      <c:barChart>
        <c:barDir val="col"/>
        <c:grouping val="stacked"/>
        <c:varyColors val="0"/>
        <c:ser>
          <c:idx val="0"/>
          <c:order val="0"/>
          <c:spPr>
            <a:ln w="12700">
              <a:solidFill>
                <a:srgbClr val="000080"/>
              </a:solidFill>
              <a:prstDash val="solid"/>
            </a:ln>
          </c:spPr>
          <c:invertIfNegative val="0"/>
          <c:cat>
            <c:strRef>
              <c:f>'[Revenue Sum-Cell Tower new version.xls]Cell Tower Revenue'!$A$11:$A$22</c:f>
              <c:strCache>
                <c:ptCount val="12"/>
                <c:pt idx="0">
                  <c:v>FY12</c:v>
                </c:pt>
                <c:pt idx="1">
                  <c:v>FY13 </c:v>
                </c:pt>
                <c:pt idx="2">
                  <c:v>FY14</c:v>
                </c:pt>
                <c:pt idx="3">
                  <c:v>FY15</c:v>
                </c:pt>
                <c:pt idx="4">
                  <c:v>FY16</c:v>
                </c:pt>
                <c:pt idx="5">
                  <c:v>FY17</c:v>
                </c:pt>
                <c:pt idx="6">
                  <c:v>FY18</c:v>
                </c:pt>
                <c:pt idx="7">
                  <c:v>FY19</c:v>
                </c:pt>
                <c:pt idx="8">
                  <c:v>FY20</c:v>
                </c:pt>
                <c:pt idx="9">
                  <c:v>FY21  </c:v>
                </c:pt>
                <c:pt idx="10">
                  <c:v>FY22 Estimate</c:v>
                </c:pt>
                <c:pt idx="11">
                  <c:v>FY23 Prop.</c:v>
                </c:pt>
              </c:strCache>
            </c:strRef>
          </c:cat>
          <c:val>
            <c:numRef>
              <c:f>'[Revenue Sum-Cell Tower new version.xls]Cell Tower Revenue'!$B$11:$B$22</c:f>
              <c:numCache>
                <c:formatCode>#,##0</c:formatCode>
                <c:ptCount val="12"/>
                <c:pt idx="0">
                  <c:v>177812</c:v>
                </c:pt>
                <c:pt idx="1">
                  <c:v>183603</c:v>
                </c:pt>
                <c:pt idx="2">
                  <c:v>189145</c:v>
                </c:pt>
                <c:pt idx="3">
                  <c:v>181336</c:v>
                </c:pt>
                <c:pt idx="4">
                  <c:v>161119</c:v>
                </c:pt>
                <c:pt idx="5">
                  <c:v>179576</c:v>
                </c:pt>
                <c:pt idx="6">
                  <c:v>146121</c:v>
                </c:pt>
                <c:pt idx="7">
                  <c:v>185505</c:v>
                </c:pt>
                <c:pt idx="8">
                  <c:v>185097</c:v>
                </c:pt>
                <c:pt idx="9">
                  <c:v>199007</c:v>
                </c:pt>
                <c:pt idx="10">
                  <c:v>185000</c:v>
                </c:pt>
                <c:pt idx="11">
                  <c:v>190000</c:v>
                </c:pt>
              </c:numCache>
            </c:numRef>
          </c:val>
          <c:extLst>
            <c:ext xmlns:c16="http://schemas.microsoft.com/office/drawing/2014/chart" uri="{C3380CC4-5D6E-409C-BE32-E72D297353CC}">
              <c16:uniqueId val="{00000000-466F-4EB1-A761-7897A93BEFA3}"/>
            </c:ext>
          </c:extLst>
        </c:ser>
        <c:dLbls>
          <c:showLegendKey val="0"/>
          <c:showVal val="0"/>
          <c:showCatName val="0"/>
          <c:showSerName val="0"/>
          <c:showPercent val="0"/>
          <c:showBubbleSize val="0"/>
        </c:dLbls>
        <c:gapWidth val="0"/>
        <c:overlap val="7"/>
        <c:axId val="471741760"/>
        <c:axId val="1"/>
      </c:barChart>
      <c:catAx>
        <c:axId val="471741760"/>
        <c:scaling>
          <c:orientation val="minMax"/>
        </c:scaling>
        <c:delete val="0"/>
        <c:axPos val="b"/>
        <c:numFmt formatCode="General" sourceLinked="1"/>
        <c:majorTickMark val="none"/>
        <c:minorTickMark val="none"/>
        <c:tickLblPos val="low"/>
        <c:spPr>
          <a:ln w="3175">
            <a:solidFill>
              <a:srgbClr val="000000"/>
            </a:solidFill>
            <a:prstDash val="solid"/>
          </a:ln>
        </c:spPr>
        <c:txPr>
          <a:bodyPr rot="-3000000" vert="horz"/>
          <a:lstStyle/>
          <a:p>
            <a:pPr>
              <a:defRPr sz="800" b="1" i="0" u="none" strike="noStrike" baseline="0">
                <a:solidFill>
                  <a:srgbClr val="000000"/>
                </a:solidFill>
                <a:latin typeface="Arial"/>
                <a:ea typeface="Arial"/>
                <a:cs typeface="Arial"/>
              </a:defRPr>
            </a:pPr>
            <a:endParaRPr lang="en-US"/>
          </a:p>
        </c:txPr>
        <c:crossAx val="1"/>
        <c:crossesAt val="100000000"/>
        <c:auto val="0"/>
        <c:lblAlgn val="ctr"/>
        <c:lblOffset val="50"/>
        <c:tickLblSkip val="1"/>
        <c:tickMarkSkip val="1"/>
        <c:noMultiLvlLbl val="0"/>
      </c:catAx>
      <c:valAx>
        <c:axId val="1"/>
        <c:scaling>
          <c:orientation val="minMax"/>
          <c:min val="25000"/>
        </c:scaling>
        <c:delete val="0"/>
        <c:axPos val="l"/>
        <c:majorGridlines/>
        <c:numFmt formatCode="\$#,##0" sourceLinked="0"/>
        <c:majorTickMark val="out"/>
        <c:minorTickMark val="none"/>
        <c:tickLblPos val="nextTo"/>
        <c:spPr>
          <a:ln w="3175">
            <a:solidFill>
              <a:schemeClr val="bg1"/>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471741760"/>
        <c:crosses val="autoZero"/>
        <c:crossBetween val="between"/>
        <c:majorUnit val="25000"/>
      </c:valAx>
      <c:spPr>
        <a:ln>
          <a:solidFill>
            <a:srgbClr val="000000"/>
          </a:solidFill>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0.11488</cdr:x>
      <cdr:y>0.8351</cdr:y>
    </cdr:from>
    <cdr:to>
      <cdr:x>0.86353</cdr:x>
      <cdr:y>0.9823</cdr:y>
    </cdr:to>
    <cdr:sp macro="" textlink="">
      <cdr:nvSpPr>
        <cdr:cNvPr id="2" name="TextBox 1"/>
        <cdr:cNvSpPr txBox="1"/>
      </cdr:nvSpPr>
      <cdr:spPr>
        <a:xfrm xmlns:a="http://schemas.openxmlformats.org/drawingml/2006/main">
          <a:off x="685800" y="2705100"/>
          <a:ext cx="4448175"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i="1"/>
            <a:t>*data</a:t>
          </a:r>
          <a:r>
            <a:rPr lang="en-US" sz="900" i="1" baseline="0"/>
            <a:t> presented is extended levy except the current year as Cook County extension occurs mid year </a:t>
          </a:r>
          <a:endParaRPr lang="en-US" sz="900" i="1"/>
        </a:p>
      </cdr:txBody>
    </cdr:sp>
  </cdr:relSizeAnchor>
</c:userShapes>
</file>

<file path=word/drawings/drawing2.xml><?xml version="1.0" encoding="utf-8"?>
<c:userShapes xmlns:c="http://schemas.openxmlformats.org/drawingml/2006/chart">
  <cdr:relSizeAnchor xmlns:cdr="http://schemas.openxmlformats.org/drawingml/2006/chartDrawing">
    <cdr:from>
      <cdr:x>0.833</cdr:x>
      <cdr:y>0.63625</cdr:y>
    </cdr:from>
    <cdr:to>
      <cdr:x>0.83374</cdr:x>
      <cdr:y>0.63673</cdr:y>
    </cdr:to>
    <cdr:sp macro="" textlink="">
      <cdr:nvSpPr>
        <cdr:cNvPr id="2" name="TextBox 1"/>
        <cdr:cNvSpPr txBox="1"/>
      </cdr:nvSpPr>
      <cdr:spPr>
        <a:xfrm xmlns:a="http://schemas.openxmlformats.org/drawingml/2006/main">
          <a:off x="4705350" y="19145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012D-3982-48DF-B4D3-DEA3AB4B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Village of Park Forest</vt:lpstr>
    </vt:vector>
  </TitlesOfParts>
  <Company>Village of Park Forest</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Park Forest</dc:title>
  <dc:subject/>
  <dc:creator>AFIN</dc:creator>
  <cp:keywords/>
  <cp:lastModifiedBy>Joshua Vinson</cp:lastModifiedBy>
  <cp:revision>2</cp:revision>
  <cp:lastPrinted>2022-04-19T17:05:00Z</cp:lastPrinted>
  <dcterms:created xsi:type="dcterms:W3CDTF">2023-04-06T16:49:00Z</dcterms:created>
  <dcterms:modified xsi:type="dcterms:W3CDTF">2023-04-06T16:49:00Z</dcterms:modified>
</cp:coreProperties>
</file>